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4876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360" w:lineRule="auto"/>
        <w:jc w:val="center"/>
        <w:textAlignment w:val="auto"/>
        <w:outlineLvl w:val="0"/>
        <w:rPr>
          <w:rFonts w:hint="default" w:ascii="Times New Roman" w:hAnsi="Times New Roman" w:eastAsia="黑体" w:cs="Times New Roman"/>
          <w:b/>
          <w:bCs/>
          <w:color w:val="000000"/>
          <w:spacing w:val="1"/>
          <w:sz w:val="28"/>
          <w:szCs w:val="28"/>
          <w:lang w:eastAsia="zh-CN"/>
        </w:rPr>
      </w:pPr>
      <w:r>
        <w:rPr>
          <w:rFonts w:hint="eastAsia" w:ascii="Times New Roman" w:hAnsi="Times New Roman" w:eastAsia="黑体" w:cs="Times New Roman"/>
          <w:b/>
          <w:bCs/>
          <w:color w:val="000000"/>
          <w:spacing w:val="1"/>
          <w:sz w:val="28"/>
          <w:szCs w:val="28"/>
          <w:lang w:val="en-US" w:eastAsia="zh-CN"/>
        </w:rPr>
        <w:t>总一氧化氮（NO）含量</w:t>
      </w:r>
      <w:r>
        <w:rPr>
          <w:rFonts w:hint="default" w:ascii="Times New Roman" w:hAnsi="Times New Roman" w:eastAsia="黑体" w:cs="Times New Roman"/>
          <w:b/>
          <w:bCs/>
          <w:color w:val="000000"/>
          <w:spacing w:val="1"/>
          <w:sz w:val="28"/>
          <w:szCs w:val="28"/>
          <w:lang w:eastAsia="zh-CN"/>
        </w:rPr>
        <w:t>检测试剂盒说明书</w:t>
      </w:r>
    </w:p>
    <w:p w14:paraId="12181A25">
      <w:pPr>
        <w:widowControl w:val="0"/>
        <w:autoSpaceDE w:val="0"/>
        <w:autoSpaceDN w:val="0"/>
        <w:spacing w:before="0" w:beforeLines="0" w:after="0" w:afterAutospacing="0" w:line="276" w:lineRule="auto"/>
        <w:jc w:val="center"/>
        <w:textAlignment w:val="center"/>
        <w:outlineLvl w:val="0"/>
        <w:rPr>
          <w:rFonts w:hint="default" w:ascii="Times New Roman" w:hAnsi="Times New Roman" w:eastAsia="黑体" w:cs="Times New Roman"/>
          <w:b/>
          <w:bCs/>
          <w:color w:val="000000"/>
          <w:spacing w:val="2"/>
          <w:sz w:val="18"/>
          <w:szCs w:val="18"/>
          <w:lang w:eastAsia="zh-CN"/>
        </w:rPr>
        <w:sectPr>
          <w:footerReference r:id="rId4" w:type="default"/>
          <w:pgSz w:w="12240" w:h="15839"/>
          <w:pgMar w:top="567" w:right="567" w:bottom="567" w:left="567" w:header="851" w:footer="992" w:gutter="0"/>
          <w:cols w:space="425" w:num="1"/>
          <w:rtlGutter w:val="0"/>
          <w:docGrid w:type="lines" w:linePitch="312" w:charSpace="0"/>
        </w:sectPr>
      </w:pPr>
    </w:p>
    <w:tbl>
      <w:tblPr>
        <w:tblStyle w:val="6"/>
        <w:tblpPr w:leftFromText="180" w:rightFromText="180" w:vertAnchor="page" w:horzAnchor="page" w:tblpX="662" w:tblpY="157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4"/>
        <w:gridCol w:w="2185"/>
        <w:gridCol w:w="1050"/>
        <w:gridCol w:w="1046"/>
      </w:tblGrid>
      <w:tr w14:paraId="62403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0" w:type="auto"/>
            <w:noWrap w:val="0"/>
            <w:vAlign w:val="center"/>
          </w:tcPr>
          <w:p w14:paraId="1DA12045">
            <w:pPr>
              <w:widowControl w:val="0"/>
              <w:autoSpaceDE w:val="0"/>
              <w:autoSpaceDN w:val="0"/>
              <w:spacing w:before="0" w:beforeLines="0" w:after="0" w:afterAutospacing="0" w:line="276" w:lineRule="auto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b/>
                <w:bCs/>
                <w:color w:val="000000"/>
                <w:spacing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spacing w:val="2"/>
                <w:sz w:val="18"/>
                <w:szCs w:val="18"/>
                <w:lang w:eastAsia="zh-CN"/>
              </w:rPr>
              <w:t>产品货号</w:t>
            </w:r>
          </w:p>
        </w:tc>
        <w:tc>
          <w:tcPr>
            <w:tcW w:w="2185" w:type="dxa"/>
            <w:noWrap w:val="0"/>
            <w:vAlign w:val="center"/>
          </w:tcPr>
          <w:p w14:paraId="617350E9">
            <w:pPr>
              <w:widowControl w:val="0"/>
              <w:autoSpaceDE w:val="0"/>
              <w:autoSpaceDN w:val="0"/>
              <w:spacing w:before="0" w:beforeLines="0" w:after="0" w:afterAutospacing="0" w:line="276" w:lineRule="auto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b/>
                <w:bCs/>
                <w:color w:val="000000"/>
                <w:spacing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spacing w:val="2"/>
                <w:sz w:val="18"/>
                <w:szCs w:val="18"/>
                <w:lang w:eastAsia="zh-CN"/>
              </w:rPr>
              <w:t>产品名称</w:t>
            </w:r>
          </w:p>
        </w:tc>
        <w:tc>
          <w:tcPr>
            <w:tcW w:w="1050" w:type="dxa"/>
            <w:noWrap w:val="0"/>
            <w:vAlign w:val="center"/>
          </w:tcPr>
          <w:p w14:paraId="67BECC77">
            <w:pPr>
              <w:widowControl w:val="0"/>
              <w:autoSpaceDE w:val="0"/>
              <w:autoSpaceDN w:val="0"/>
              <w:spacing w:before="0" w:beforeLines="0" w:after="0" w:afterAutospacing="0" w:line="276" w:lineRule="auto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b/>
                <w:bCs/>
                <w:color w:val="000000"/>
                <w:spacing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spacing w:val="2"/>
                <w:sz w:val="18"/>
                <w:szCs w:val="18"/>
                <w:lang w:eastAsia="zh-CN"/>
              </w:rPr>
              <w:t>包装规格</w:t>
            </w:r>
          </w:p>
        </w:tc>
        <w:tc>
          <w:tcPr>
            <w:tcW w:w="1046" w:type="dxa"/>
            <w:noWrap w:val="0"/>
            <w:vAlign w:val="center"/>
          </w:tcPr>
          <w:p w14:paraId="450B22B9">
            <w:pPr>
              <w:widowControl w:val="0"/>
              <w:autoSpaceDE w:val="0"/>
              <w:autoSpaceDN w:val="0"/>
              <w:spacing w:before="0" w:beforeLines="0" w:after="0" w:afterAutospacing="0" w:line="276" w:lineRule="auto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b/>
                <w:bCs/>
                <w:color w:val="000000"/>
                <w:spacing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spacing w:val="2"/>
                <w:sz w:val="18"/>
                <w:szCs w:val="18"/>
                <w:lang w:eastAsia="zh-CN"/>
              </w:rPr>
              <w:t>测定方法</w:t>
            </w:r>
          </w:p>
        </w:tc>
      </w:tr>
      <w:tr w14:paraId="792CB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0" w:type="auto"/>
            <w:noWrap w:val="0"/>
            <w:vAlign w:val="center"/>
          </w:tcPr>
          <w:p w14:paraId="6688938D">
            <w:pPr>
              <w:widowControl w:val="0"/>
              <w:autoSpaceDE w:val="0"/>
              <w:autoSpaceDN w:val="0"/>
              <w:spacing w:before="0" w:beforeLines="0" w:after="0" w:afterAutospacing="0" w:line="276" w:lineRule="auto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eastAsia="zh-CN"/>
              </w:rPr>
              <w:t>AYHA5-</w:t>
            </w:r>
            <w:r>
              <w:rPr>
                <w:rFonts w:hint="eastAsia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C</w:t>
            </w: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48</w:t>
            </w:r>
          </w:p>
        </w:tc>
        <w:tc>
          <w:tcPr>
            <w:tcW w:w="2185" w:type="dxa"/>
            <w:vMerge w:val="restart"/>
            <w:noWrap w:val="0"/>
            <w:vAlign w:val="center"/>
          </w:tcPr>
          <w:p w14:paraId="7D8E62FD">
            <w:pPr>
              <w:widowControl w:val="0"/>
              <w:autoSpaceDE w:val="0"/>
              <w:autoSpaceDN w:val="0"/>
              <w:spacing w:before="0" w:beforeLines="0" w:after="0" w:afterAutospacing="0" w:line="276" w:lineRule="auto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pacing w:val="1"/>
                <w:sz w:val="18"/>
                <w:szCs w:val="18"/>
                <w:lang w:val="en-US" w:eastAsia="zh-CN"/>
              </w:rPr>
              <w:t>总一氧化氮（NO）含量</w:t>
            </w:r>
            <w:r>
              <w:rPr>
                <w:rFonts w:hint="default" w:ascii="Times New Roman" w:hAnsi="Times New Roman" w:eastAsia="黑体" w:cs="Times New Roman"/>
                <w:color w:val="000000"/>
                <w:spacing w:val="1"/>
                <w:sz w:val="18"/>
                <w:szCs w:val="18"/>
                <w:lang w:eastAsia="zh-CN"/>
              </w:rPr>
              <w:t>检测试剂盒</w:t>
            </w:r>
          </w:p>
        </w:tc>
        <w:tc>
          <w:tcPr>
            <w:tcW w:w="1050" w:type="dxa"/>
            <w:noWrap w:val="0"/>
            <w:vAlign w:val="center"/>
          </w:tcPr>
          <w:p w14:paraId="040399E8">
            <w:pPr>
              <w:widowControl w:val="0"/>
              <w:autoSpaceDE w:val="0"/>
              <w:autoSpaceDN w:val="0"/>
              <w:spacing w:before="0" w:beforeLines="0" w:after="0" w:afterAutospacing="0" w:line="276" w:lineRule="auto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24</w:t>
            </w: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T</w:t>
            </w:r>
          </w:p>
        </w:tc>
        <w:tc>
          <w:tcPr>
            <w:tcW w:w="1046" w:type="dxa"/>
            <w:noWrap w:val="0"/>
            <w:vAlign w:val="center"/>
          </w:tcPr>
          <w:p w14:paraId="37E87551">
            <w:pPr>
              <w:widowControl w:val="0"/>
              <w:autoSpaceDE w:val="0"/>
              <w:autoSpaceDN w:val="0"/>
              <w:spacing w:before="0" w:beforeLines="0" w:after="0" w:afterAutospacing="0" w:line="276" w:lineRule="auto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常</w:t>
            </w: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量法</w:t>
            </w:r>
          </w:p>
        </w:tc>
      </w:tr>
      <w:tr w14:paraId="1C855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0" w:type="auto"/>
            <w:shd w:val="clear" w:color="auto" w:fill="auto"/>
            <w:noWrap w:val="0"/>
            <w:vAlign w:val="center"/>
          </w:tcPr>
          <w:p w14:paraId="374E33A5">
            <w:pPr>
              <w:widowControl w:val="0"/>
              <w:autoSpaceDE w:val="0"/>
              <w:autoSpaceDN w:val="0"/>
              <w:spacing w:before="0" w:beforeLines="0" w:after="0" w:afterAutospacing="0" w:line="276" w:lineRule="auto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eastAsia="zh-CN"/>
              </w:rPr>
              <w:t>AYHA5-</w:t>
            </w:r>
            <w:r>
              <w:rPr>
                <w:rFonts w:hint="eastAsia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C</w:t>
            </w: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96</w:t>
            </w:r>
          </w:p>
        </w:tc>
        <w:tc>
          <w:tcPr>
            <w:tcW w:w="2185" w:type="dxa"/>
            <w:vMerge w:val="continue"/>
            <w:noWrap w:val="0"/>
            <w:vAlign w:val="center"/>
          </w:tcPr>
          <w:p w14:paraId="05E2007C">
            <w:pPr>
              <w:widowControl w:val="0"/>
              <w:autoSpaceDE w:val="0"/>
              <w:autoSpaceDN w:val="0"/>
              <w:spacing w:before="0" w:beforeLines="0" w:after="0" w:afterAutospacing="0" w:line="276" w:lineRule="auto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color w:val="0A0A0A"/>
                <w:sz w:val="18"/>
                <w:szCs w:val="18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02D852F9">
            <w:pPr>
              <w:widowControl w:val="0"/>
              <w:autoSpaceDE w:val="0"/>
              <w:autoSpaceDN w:val="0"/>
              <w:spacing w:before="0" w:beforeLines="0" w:after="0" w:afterAutospacing="0" w:line="276" w:lineRule="auto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48</w:t>
            </w: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T</w:t>
            </w:r>
          </w:p>
        </w:tc>
        <w:tc>
          <w:tcPr>
            <w:tcW w:w="1046" w:type="dxa"/>
            <w:noWrap w:val="0"/>
            <w:vAlign w:val="center"/>
          </w:tcPr>
          <w:p w14:paraId="5B19D1DE">
            <w:pPr>
              <w:widowControl w:val="0"/>
              <w:autoSpaceDE w:val="0"/>
              <w:autoSpaceDN w:val="0"/>
              <w:spacing w:before="0" w:beforeLines="0" w:after="0" w:afterAutospacing="0" w:line="276" w:lineRule="auto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常</w:t>
            </w: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量法</w:t>
            </w:r>
          </w:p>
        </w:tc>
      </w:tr>
    </w:tbl>
    <w:p w14:paraId="40D4B94B">
      <w:pPr>
        <w:widowControl w:val="0"/>
        <w:tabs>
          <w:tab w:val="left" w:pos="2276"/>
        </w:tabs>
        <w:autoSpaceDE w:val="0"/>
        <w:autoSpaceDN w:val="0"/>
        <w:spacing w:beforeLines="50" w:afterLines="50"/>
        <w:jc w:val="left"/>
        <w:outlineLvl w:val="0"/>
        <w:rPr>
          <w:rFonts w:hint="default" w:ascii="Times New Roman" w:hAnsi="Times New Roman" w:eastAsia="黑体" w:cs="Times New Roman"/>
          <w:b/>
          <w:bCs/>
          <w:color w:val="000000"/>
          <w:spacing w:val="1"/>
          <w:sz w:val="28"/>
          <w:szCs w:val="28"/>
          <w:lang w:eastAsia="zh-CN"/>
        </w:rPr>
        <w:sectPr>
          <w:type w:val="continuous"/>
          <w:pgSz w:w="12240" w:h="15839"/>
          <w:pgMar w:top="567" w:right="567" w:bottom="567" w:left="567" w:header="851" w:footer="992" w:gutter="0"/>
          <w:cols w:equalWidth="0" w:num="2">
            <w:col w:w="5340" w:space="425"/>
            <w:col w:w="5340"/>
          </w:cols>
          <w:rtlGutter w:val="0"/>
          <w:docGrid w:type="lines" w:linePitch="312" w:charSpace="0"/>
        </w:sectPr>
      </w:pPr>
      <w:r>
        <w:rPr>
          <w:rFonts w:hint="default" w:ascii="Times New Roman" w:hAnsi="Times New Roman" w:eastAsia="黑体" w:cs="Times New Roman"/>
          <w:b/>
          <w:bCs/>
          <w:color w:val="000000"/>
          <w:spacing w:val="1"/>
          <w:sz w:val="28"/>
          <w:szCs w:val="28"/>
          <w:lang w:eastAsia="zh-CN"/>
        </w:rPr>
        <w:tab/>
      </w:r>
    </w:p>
    <w:p w14:paraId="19D83D8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outlineLvl w:val="0"/>
        <w:rPr>
          <w:rFonts w:hint="default" w:ascii="Times New Roman" w:hAnsi="Times New Roman" w:eastAsia="黑体" w:cs="Times New Roman"/>
          <w:sz w:val="18"/>
          <w:szCs w:val="18"/>
          <w:lang w:eastAsia="zh-CN"/>
        </w:rPr>
      </w:pPr>
      <w:r>
        <w:rPr>
          <w:rFonts w:hint="default" w:ascii="Times New Roman" w:hAnsi="Times New Roman" w:eastAsia="黑体" w:cs="Times New Roman"/>
          <w:b/>
          <w:bCs/>
          <w:color w:val="000000"/>
          <w:sz w:val="18"/>
          <w:szCs w:val="18"/>
          <w:lang w:eastAsia="zh-CN"/>
        </w:rPr>
        <w:t>测定意义：</w:t>
      </w:r>
    </w:p>
    <w:p w14:paraId="70F62E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outlineLvl w:val="0"/>
        <w:rPr>
          <w:rFonts w:hint="default" w:ascii="Times New Roman" w:hAnsi="Times New Roman" w:eastAsia="黑体" w:cs="Times New Roman"/>
          <w:sz w:val="18"/>
          <w:szCs w:val="18"/>
          <w:lang w:eastAsia="zh-CN"/>
        </w:rPr>
      </w:pPr>
      <w:r>
        <w:rPr>
          <w:rFonts w:hint="default" w:ascii="Times New Roman" w:hAnsi="Times New Roman" w:eastAsia="黑体" w:cs="Times New Roman"/>
          <w:sz w:val="18"/>
          <w:szCs w:val="18"/>
        </w:rPr>
        <w:t>一氧化氮（NO）作为动物体内重要的气体信号分子与活性氮物质，测定动物总 NO 含量可精准评估机体免疫调节、血管舒张、神经传导等生理功能状态，辅助诊断心血管疾病、神经系统疾病及感染性疾病，同时在探究炎症反应、氧化应激与病理机制，评估药物治疗效果及疾病预后等方面具有重要科学与临床价值。</w:t>
      </w:r>
    </w:p>
    <w:p w14:paraId="3E400C1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outlineLvl w:val="0"/>
        <w:rPr>
          <w:rFonts w:hint="default" w:ascii="Times New Roman" w:hAnsi="Times New Roman" w:eastAsia="黑体" w:cs="Times New Roman"/>
          <w:b/>
          <w:bCs/>
          <w:color w:val="000000"/>
          <w:sz w:val="18"/>
          <w:szCs w:val="18"/>
          <w:lang w:eastAsia="zh-CN"/>
        </w:rPr>
      </w:pPr>
      <w:r>
        <w:rPr>
          <w:rFonts w:hint="default" w:ascii="Times New Roman" w:hAnsi="Times New Roman" w:eastAsia="黑体" w:cs="Times New Roman"/>
          <w:b/>
          <w:bCs/>
          <w:color w:val="000000"/>
          <w:sz w:val="18"/>
          <w:szCs w:val="18"/>
          <w:lang w:eastAsia="zh-CN"/>
        </w:rPr>
        <w:t>测定原理：</w:t>
      </w:r>
    </w:p>
    <w:p w14:paraId="13E9CC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outlineLvl w:val="0"/>
        <w:rPr>
          <w:rFonts w:hint="default" w:ascii="Times New Roman" w:hAnsi="Times New Roman" w:eastAsia="黑体" w:cs="Times New Roman"/>
          <w:sz w:val="18"/>
          <w:szCs w:val="18"/>
          <w:lang w:eastAsia="zh-CN"/>
        </w:rPr>
      </w:pPr>
      <w:r>
        <w:rPr>
          <w:rFonts w:hint="default" w:ascii="Times New Roman" w:hAnsi="Times New Roman" w:eastAsia="黑体" w:cs="Times New Roman"/>
          <w:sz w:val="18"/>
          <w:szCs w:val="18"/>
          <w:lang w:eastAsia="zh-CN"/>
        </w:rPr>
        <w:t>在酸性环境下，总一氧化氮（NO）经硫酸锌沉淀蛋白、硫酸肼还原处理后，释放的亚硝酸盐与对氨基苯磺酸发生重氮化反应，再与 α- 萘胺偶合形成粉红色偶氮染料，该染料在</w:t>
      </w:r>
      <w:r>
        <w:rPr>
          <w:rFonts w:hint="eastAsia" w:ascii="Times New Roman" w:hAnsi="Times New Roman" w:eastAsia="黑体" w:cs="Times New Roman"/>
          <w:sz w:val="18"/>
          <w:szCs w:val="18"/>
          <w:lang w:val="en-US" w:eastAsia="zh-CN"/>
        </w:rPr>
        <w:t>525nm</w:t>
      </w:r>
      <w:r>
        <w:rPr>
          <w:rFonts w:hint="default" w:ascii="Times New Roman" w:hAnsi="Times New Roman" w:eastAsia="黑体" w:cs="Times New Roman"/>
          <w:sz w:val="18"/>
          <w:szCs w:val="18"/>
          <w:lang w:eastAsia="zh-CN"/>
        </w:rPr>
        <w:t>下具有特征吸光度，其吸光度值与总NO含量呈线性关系，</w:t>
      </w:r>
      <w:r>
        <w:rPr>
          <w:rFonts w:hint="default" w:ascii="Times New Roman" w:hAnsi="Times New Roman" w:eastAsia="黑体" w:cs="Times New Roman"/>
          <w:color w:val="000000"/>
          <w:spacing w:val="1"/>
          <w:sz w:val="18"/>
          <w:szCs w:val="18"/>
          <w:lang w:val="en-US" w:eastAsia="zh-CN"/>
        </w:rPr>
        <w:t>结合标准曲线</w:t>
      </w:r>
      <w:r>
        <w:rPr>
          <w:rFonts w:hint="default" w:ascii="Times New Roman" w:hAnsi="Times New Roman" w:eastAsia="黑体" w:cs="Times New Roman"/>
          <w:sz w:val="18"/>
          <w:szCs w:val="18"/>
          <w:lang w:eastAsia="zh-CN"/>
        </w:rPr>
        <w:t>可实现对样品中总NO含量的定量测定。</w:t>
      </w:r>
    </w:p>
    <w:p w14:paraId="24DA2CF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outlineLvl w:val="0"/>
        <w:rPr>
          <w:rFonts w:hint="default" w:ascii="Times New Roman" w:hAnsi="Times New Roman" w:eastAsia="黑体" w:cs="Times New Roman"/>
          <w:b/>
          <w:bCs/>
          <w:color w:val="000000"/>
          <w:sz w:val="18"/>
          <w:szCs w:val="18"/>
          <w:lang w:eastAsia="zh-CN"/>
        </w:rPr>
      </w:pPr>
      <w:r>
        <w:rPr>
          <w:rFonts w:hint="default" w:ascii="Times New Roman" w:hAnsi="Times New Roman" w:eastAsia="黑体" w:cs="Times New Roman"/>
          <w:b/>
          <w:bCs/>
          <w:color w:val="000000"/>
          <w:sz w:val="18"/>
          <w:szCs w:val="18"/>
          <w:lang w:eastAsia="zh-CN"/>
        </w:rPr>
        <w:t>试剂组成：</w:t>
      </w:r>
    </w:p>
    <w:tbl>
      <w:tblPr>
        <w:tblStyle w:val="6"/>
        <w:tblW w:w="561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8"/>
        <w:gridCol w:w="1572"/>
        <w:gridCol w:w="1584"/>
        <w:gridCol w:w="1078"/>
      </w:tblGrid>
      <w:tr w14:paraId="0D49F7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378" w:type="dxa"/>
            <w:noWrap w:val="0"/>
            <w:vAlign w:val="center"/>
          </w:tcPr>
          <w:p w14:paraId="3D52D0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sz w:val="18"/>
                <w:szCs w:val="18"/>
                <w:lang w:eastAsia="zh-CN"/>
              </w:rPr>
              <w:t>试剂名称</w:t>
            </w:r>
          </w:p>
        </w:tc>
        <w:tc>
          <w:tcPr>
            <w:tcW w:w="1572" w:type="dxa"/>
            <w:noWrap w:val="0"/>
            <w:vAlign w:val="center"/>
          </w:tcPr>
          <w:p w14:paraId="16EA85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sz w:val="18"/>
                <w:szCs w:val="18"/>
                <w:lang w:eastAsia="zh-CN"/>
              </w:rPr>
              <w:t>试剂装量</w:t>
            </w: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黑体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24</w:t>
            </w: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T)</w:t>
            </w:r>
          </w:p>
        </w:tc>
        <w:tc>
          <w:tcPr>
            <w:tcW w:w="1584" w:type="dxa"/>
            <w:noWrap w:val="0"/>
            <w:vAlign w:val="center"/>
          </w:tcPr>
          <w:p w14:paraId="7B1268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sz w:val="18"/>
                <w:szCs w:val="18"/>
                <w:lang w:eastAsia="zh-CN"/>
              </w:rPr>
              <w:t>试剂装量</w:t>
            </w: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黑体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48</w:t>
            </w: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T)</w:t>
            </w:r>
          </w:p>
        </w:tc>
        <w:tc>
          <w:tcPr>
            <w:tcW w:w="1078" w:type="dxa"/>
            <w:shd w:val="clear" w:color="auto" w:fill="auto"/>
            <w:noWrap w:val="0"/>
            <w:vAlign w:val="center"/>
          </w:tcPr>
          <w:p w14:paraId="3B6EA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sz w:val="18"/>
                <w:szCs w:val="18"/>
                <w:lang w:eastAsia="zh-CN"/>
              </w:rPr>
              <w:t>保存条件</w:t>
            </w:r>
          </w:p>
        </w:tc>
      </w:tr>
      <w:tr w14:paraId="3095F7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378" w:type="dxa"/>
            <w:noWrap w:val="0"/>
            <w:vAlign w:val="center"/>
          </w:tcPr>
          <w:p w14:paraId="76B48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提取液</w:t>
            </w:r>
          </w:p>
        </w:tc>
        <w:tc>
          <w:tcPr>
            <w:tcW w:w="1572" w:type="dxa"/>
            <w:noWrap w:val="0"/>
            <w:vAlign w:val="center"/>
          </w:tcPr>
          <w:p w14:paraId="58E4D4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 xml:space="preserve">液体 </w:t>
            </w: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mL×1瓶</w:t>
            </w:r>
          </w:p>
        </w:tc>
        <w:tc>
          <w:tcPr>
            <w:tcW w:w="1584" w:type="dxa"/>
            <w:noWrap w:val="0"/>
            <w:vAlign w:val="center"/>
          </w:tcPr>
          <w:p w14:paraId="2134F5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 xml:space="preserve">液体 </w:t>
            </w: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60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mL×1 瓶</w:t>
            </w:r>
          </w:p>
        </w:tc>
        <w:tc>
          <w:tcPr>
            <w:tcW w:w="1078" w:type="dxa"/>
            <w:shd w:val="clear" w:color="auto" w:fill="auto"/>
            <w:noWrap w:val="0"/>
            <w:vAlign w:val="center"/>
          </w:tcPr>
          <w:p w14:paraId="7279EE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2~8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℃保存</w:t>
            </w:r>
          </w:p>
        </w:tc>
      </w:tr>
      <w:tr w14:paraId="00C9C3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378" w:type="dxa"/>
            <w:noWrap w:val="0"/>
            <w:vAlign w:val="center"/>
          </w:tcPr>
          <w:p w14:paraId="72EBEB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试剂一</w:t>
            </w:r>
          </w:p>
        </w:tc>
        <w:tc>
          <w:tcPr>
            <w:tcW w:w="1572" w:type="dxa"/>
            <w:noWrap w:val="0"/>
            <w:vAlign w:val="center"/>
          </w:tcPr>
          <w:p w14:paraId="5AFB40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液体</w:t>
            </w: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mL×1 瓶</w:t>
            </w:r>
          </w:p>
        </w:tc>
        <w:tc>
          <w:tcPr>
            <w:tcW w:w="1584" w:type="dxa"/>
            <w:noWrap w:val="0"/>
            <w:vAlign w:val="center"/>
          </w:tcPr>
          <w:p w14:paraId="08FBDC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液体</w:t>
            </w: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mL×1 瓶</w:t>
            </w:r>
          </w:p>
        </w:tc>
        <w:tc>
          <w:tcPr>
            <w:tcW w:w="1078" w:type="dxa"/>
            <w:shd w:val="clear" w:color="auto" w:fill="auto"/>
            <w:noWrap w:val="0"/>
            <w:vAlign w:val="center"/>
          </w:tcPr>
          <w:p w14:paraId="2283F0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2~8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℃保存</w:t>
            </w:r>
          </w:p>
        </w:tc>
      </w:tr>
      <w:tr w14:paraId="17FE92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378" w:type="dxa"/>
            <w:noWrap w:val="0"/>
            <w:vAlign w:val="center"/>
          </w:tcPr>
          <w:p w14:paraId="7E795A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试剂二</w:t>
            </w:r>
          </w:p>
        </w:tc>
        <w:tc>
          <w:tcPr>
            <w:tcW w:w="1572" w:type="dxa"/>
            <w:noWrap w:val="0"/>
            <w:vAlign w:val="center"/>
          </w:tcPr>
          <w:p w14:paraId="3D5E8C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液体</w:t>
            </w: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mL×1 瓶</w:t>
            </w:r>
          </w:p>
        </w:tc>
        <w:tc>
          <w:tcPr>
            <w:tcW w:w="1584" w:type="dxa"/>
            <w:noWrap w:val="0"/>
            <w:vAlign w:val="center"/>
          </w:tcPr>
          <w:p w14:paraId="3D3A65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液体</w:t>
            </w: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mL×1 瓶</w:t>
            </w:r>
          </w:p>
        </w:tc>
        <w:tc>
          <w:tcPr>
            <w:tcW w:w="1078" w:type="dxa"/>
            <w:shd w:val="clear" w:color="auto" w:fill="auto"/>
            <w:noWrap w:val="0"/>
            <w:vAlign w:val="center"/>
          </w:tcPr>
          <w:p w14:paraId="02A81C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2~8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℃保存</w:t>
            </w:r>
          </w:p>
        </w:tc>
      </w:tr>
      <w:tr w14:paraId="22E249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378" w:type="dxa"/>
            <w:noWrap w:val="0"/>
            <w:vAlign w:val="center"/>
          </w:tcPr>
          <w:p w14:paraId="037CCD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试剂三</w:t>
            </w:r>
          </w:p>
        </w:tc>
        <w:tc>
          <w:tcPr>
            <w:tcW w:w="1572" w:type="dxa"/>
            <w:noWrap w:val="0"/>
            <w:vAlign w:val="center"/>
          </w:tcPr>
          <w:p w14:paraId="76D58B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液体</w:t>
            </w: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mL×1 瓶</w:t>
            </w:r>
          </w:p>
        </w:tc>
        <w:tc>
          <w:tcPr>
            <w:tcW w:w="1584" w:type="dxa"/>
            <w:noWrap w:val="0"/>
            <w:vAlign w:val="center"/>
          </w:tcPr>
          <w:p w14:paraId="2D1357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液体</w:t>
            </w: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mL×1 瓶</w:t>
            </w:r>
          </w:p>
        </w:tc>
        <w:tc>
          <w:tcPr>
            <w:tcW w:w="1078" w:type="dxa"/>
            <w:shd w:val="clear" w:color="auto" w:fill="auto"/>
            <w:noWrap w:val="0"/>
            <w:vAlign w:val="center"/>
          </w:tcPr>
          <w:p w14:paraId="28B402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2~8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℃保存</w:t>
            </w:r>
          </w:p>
        </w:tc>
      </w:tr>
      <w:tr w14:paraId="5D6E7D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378" w:type="dxa"/>
            <w:noWrap w:val="0"/>
            <w:vAlign w:val="center"/>
          </w:tcPr>
          <w:p w14:paraId="1D023D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试剂四</w:t>
            </w:r>
          </w:p>
        </w:tc>
        <w:tc>
          <w:tcPr>
            <w:tcW w:w="1572" w:type="dxa"/>
            <w:noWrap w:val="0"/>
            <w:vAlign w:val="center"/>
          </w:tcPr>
          <w:p w14:paraId="37B408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液体</w:t>
            </w: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mL×1 瓶</w:t>
            </w:r>
          </w:p>
        </w:tc>
        <w:tc>
          <w:tcPr>
            <w:tcW w:w="1584" w:type="dxa"/>
            <w:noWrap w:val="0"/>
            <w:vAlign w:val="center"/>
          </w:tcPr>
          <w:p w14:paraId="328FCB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液体</w:t>
            </w: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mL×1 瓶</w:t>
            </w:r>
          </w:p>
        </w:tc>
        <w:tc>
          <w:tcPr>
            <w:tcW w:w="1078" w:type="dxa"/>
            <w:shd w:val="clear" w:color="auto" w:fill="auto"/>
            <w:noWrap w:val="0"/>
            <w:vAlign w:val="center"/>
          </w:tcPr>
          <w:p w14:paraId="062889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2~8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℃保存</w:t>
            </w:r>
          </w:p>
        </w:tc>
      </w:tr>
      <w:tr w14:paraId="4CBCC6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378" w:type="dxa"/>
            <w:noWrap w:val="0"/>
            <w:vAlign w:val="center"/>
          </w:tcPr>
          <w:p w14:paraId="338672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试剂</w:t>
            </w: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五</w:t>
            </w:r>
          </w:p>
        </w:tc>
        <w:tc>
          <w:tcPr>
            <w:tcW w:w="1572" w:type="dxa"/>
            <w:shd w:val="clear" w:color="auto" w:fill="auto"/>
            <w:noWrap w:val="0"/>
            <w:vAlign w:val="center"/>
          </w:tcPr>
          <w:p w14:paraId="1AD561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 xml:space="preserve">液体 </w:t>
            </w: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mL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×1 瓶</w:t>
            </w:r>
          </w:p>
        </w:tc>
        <w:tc>
          <w:tcPr>
            <w:tcW w:w="1584" w:type="dxa"/>
            <w:shd w:val="clear" w:color="auto" w:fill="auto"/>
            <w:noWrap w:val="0"/>
            <w:vAlign w:val="center"/>
          </w:tcPr>
          <w:p w14:paraId="70900F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 xml:space="preserve">液体 </w:t>
            </w: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mL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×</w:t>
            </w: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 xml:space="preserve"> 瓶</w:t>
            </w:r>
          </w:p>
        </w:tc>
        <w:tc>
          <w:tcPr>
            <w:tcW w:w="1078" w:type="dxa"/>
            <w:shd w:val="clear" w:color="auto" w:fill="auto"/>
            <w:noWrap w:val="0"/>
            <w:vAlign w:val="center"/>
          </w:tcPr>
          <w:p w14:paraId="737FE3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2~8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℃保存</w:t>
            </w:r>
          </w:p>
        </w:tc>
      </w:tr>
      <w:tr w14:paraId="48E607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378" w:type="dxa"/>
            <w:noWrap w:val="0"/>
            <w:vAlign w:val="center"/>
          </w:tcPr>
          <w:p w14:paraId="30276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试剂</w:t>
            </w: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六</w:t>
            </w:r>
          </w:p>
        </w:tc>
        <w:tc>
          <w:tcPr>
            <w:tcW w:w="1572" w:type="dxa"/>
            <w:shd w:val="clear" w:color="auto" w:fill="auto"/>
            <w:noWrap w:val="0"/>
            <w:vAlign w:val="center"/>
          </w:tcPr>
          <w:p w14:paraId="16728A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 xml:space="preserve">液体 </w:t>
            </w: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mL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×1 瓶</w:t>
            </w:r>
          </w:p>
        </w:tc>
        <w:tc>
          <w:tcPr>
            <w:tcW w:w="1584" w:type="dxa"/>
            <w:shd w:val="clear" w:color="auto" w:fill="auto"/>
            <w:noWrap w:val="0"/>
            <w:vAlign w:val="center"/>
          </w:tcPr>
          <w:p w14:paraId="26314E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 xml:space="preserve">液体 </w:t>
            </w: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mL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×</w:t>
            </w: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 xml:space="preserve"> 瓶</w:t>
            </w:r>
          </w:p>
        </w:tc>
        <w:tc>
          <w:tcPr>
            <w:tcW w:w="1078" w:type="dxa"/>
            <w:shd w:val="clear" w:color="auto" w:fill="auto"/>
            <w:noWrap w:val="0"/>
            <w:vAlign w:val="center"/>
          </w:tcPr>
          <w:p w14:paraId="2D804C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2~8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℃保存</w:t>
            </w:r>
          </w:p>
        </w:tc>
      </w:tr>
      <w:tr w14:paraId="31936A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378" w:type="dxa"/>
            <w:noWrap w:val="0"/>
            <w:vAlign w:val="center"/>
          </w:tcPr>
          <w:p w14:paraId="63B213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标准品</w:t>
            </w:r>
          </w:p>
          <w:p w14:paraId="34ACB6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μ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mol/mL</w:t>
            </w: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72" w:type="dxa"/>
            <w:noWrap w:val="0"/>
            <w:vAlign w:val="center"/>
          </w:tcPr>
          <w:p w14:paraId="135890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液体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1mL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×1支</w:t>
            </w:r>
          </w:p>
        </w:tc>
        <w:tc>
          <w:tcPr>
            <w:tcW w:w="1584" w:type="dxa"/>
            <w:noWrap w:val="0"/>
            <w:vAlign w:val="center"/>
          </w:tcPr>
          <w:p w14:paraId="6EB7E3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液体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1mL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×</w:t>
            </w: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支</w:t>
            </w:r>
          </w:p>
        </w:tc>
        <w:tc>
          <w:tcPr>
            <w:tcW w:w="1078" w:type="dxa"/>
            <w:shd w:val="clear" w:color="auto" w:fill="auto"/>
            <w:noWrap w:val="0"/>
            <w:vAlign w:val="center"/>
          </w:tcPr>
          <w:p w14:paraId="5E2565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2~8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℃保存</w:t>
            </w:r>
          </w:p>
        </w:tc>
      </w:tr>
    </w:tbl>
    <w:p w14:paraId="3BDE5E9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outlineLvl w:val="0"/>
        <w:rPr>
          <w:rFonts w:hint="default" w:ascii="Times New Roman" w:hAnsi="Times New Roman" w:eastAsia="黑体" w:cs="Times New Roman"/>
          <w:b/>
          <w:bCs/>
          <w:sz w:val="18"/>
          <w:szCs w:val="18"/>
        </w:rPr>
      </w:pPr>
      <w:r>
        <w:rPr>
          <w:rFonts w:hint="default" w:ascii="Times New Roman" w:hAnsi="Times New Roman" w:eastAsia="黑体" w:cs="Times New Roman"/>
          <w:b/>
          <w:bCs/>
          <w:color w:val="000000"/>
          <w:sz w:val="18"/>
          <w:szCs w:val="18"/>
          <w:lang w:eastAsia="zh-CN"/>
        </w:rPr>
        <w:t>操作步骤：</w:t>
      </w:r>
      <w:r>
        <w:rPr>
          <w:rFonts w:hint="default" w:ascii="Times New Roman" w:hAnsi="Times New Roman" w:eastAsia="黑体" w:cs="Times New Roman"/>
          <w:b/>
          <w:bCs/>
          <w:sz w:val="18"/>
          <w:szCs w:val="18"/>
          <w:lang w:val="en-US" w:eastAsia="zh-CN"/>
        </w:rPr>
        <w:tab/>
      </w:r>
    </w:p>
    <w:p w14:paraId="324480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/>
        <w:textAlignment w:val="auto"/>
        <w:outlineLvl w:val="0"/>
        <w:rPr>
          <w:rFonts w:hint="default" w:ascii="Times New Roman" w:hAnsi="Times New Roman" w:eastAsia="黑体" w:cs="Times New Roman"/>
          <w:b/>
          <w:bCs/>
          <w:color w:val="000000"/>
          <w:sz w:val="18"/>
          <w:szCs w:val="18"/>
          <w:lang w:eastAsia="zh-CN"/>
        </w:rPr>
      </w:pPr>
      <w:r>
        <w:rPr>
          <w:rFonts w:hint="default" w:ascii="Times New Roman" w:hAnsi="Times New Roman" w:eastAsia="黑体" w:cs="Times New Roman"/>
          <w:b/>
          <w:bCs/>
          <w:color w:val="000000"/>
          <w:sz w:val="18"/>
          <w:szCs w:val="18"/>
          <w:lang w:eastAsia="zh-CN"/>
        </w:rPr>
        <w:t>样本前处理</w:t>
      </w:r>
    </w:p>
    <w:p w14:paraId="45398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outlineLvl w:val="0"/>
        <w:rPr>
          <w:rFonts w:hint="default" w:ascii="Times New Roman" w:hAnsi="Times New Roman" w:eastAsia="黑体" w:cs="Times New Roman"/>
          <w:b w:val="0"/>
          <w:bCs w:val="0"/>
          <w:sz w:val="18"/>
          <w:szCs w:val="18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18"/>
          <w:szCs w:val="18"/>
          <w:lang w:eastAsia="zh-CN"/>
        </w:rPr>
        <w:t>1、组织：按照组织质量（g）:提取液(mL)为 1:10 的比例（建议称取 0.1 g 组织，加入 1 mL 提取液）进行冰浴匀浆。5000 rpm，4℃离心 10 min，取上清置冰上待测。</w:t>
      </w:r>
    </w:p>
    <w:p w14:paraId="20DB89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outlineLvl w:val="0"/>
        <w:rPr>
          <w:rFonts w:hint="default" w:ascii="Times New Roman" w:hAnsi="Times New Roman" w:eastAsia="黑体" w:cs="Times New Roman"/>
          <w:b w:val="0"/>
          <w:bCs w:val="0"/>
          <w:sz w:val="18"/>
          <w:szCs w:val="18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18"/>
          <w:szCs w:val="18"/>
          <w:lang w:eastAsia="zh-CN"/>
        </w:rPr>
        <w:t>2、细菌、细胞：按照细胞数量 10</w:t>
      </w:r>
      <w:r>
        <w:rPr>
          <w:rFonts w:hint="default" w:ascii="Times New Roman" w:hAnsi="Times New Roman" w:eastAsia="黑体" w:cs="Times New Roman"/>
          <w:b w:val="0"/>
          <w:bCs w:val="0"/>
          <w:sz w:val="18"/>
          <w:szCs w:val="18"/>
          <w:vertAlign w:val="superscript"/>
          <w:lang w:eastAsia="zh-CN"/>
        </w:rPr>
        <w:t>4</w:t>
      </w:r>
      <w:r>
        <w:rPr>
          <w:rFonts w:hint="default" w:ascii="Times New Roman" w:hAnsi="Times New Roman" w:eastAsia="黑体" w:cs="Times New Roman"/>
          <w:b w:val="0"/>
          <w:bCs w:val="0"/>
          <w:sz w:val="18"/>
          <w:szCs w:val="18"/>
          <w:lang w:eastAsia="zh-CN"/>
        </w:rPr>
        <w:t xml:space="preserve"> 个：提取液体积（mL）500~1000:1 的比例（建议 500 万细胞加入 1 mL 提取液），冰浴超声波破碎细胞（功率 300w，超声 3s，间隔 7s，总时间 3 min）， 5000 rpm，4℃离心 10min，取上清置冰上待测。</w:t>
      </w:r>
    </w:p>
    <w:p w14:paraId="6FB74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outlineLvl w:val="0"/>
        <w:rPr>
          <w:rFonts w:hint="default" w:ascii="Times New Roman" w:hAnsi="Times New Roman" w:eastAsia="黑体" w:cs="Times New Roman"/>
          <w:b/>
          <w:bCs/>
          <w:sz w:val="18"/>
          <w:szCs w:val="18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18"/>
          <w:szCs w:val="18"/>
          <w:lang w:eastAsia="zh-CN"/>
        </w:rPr>
        <w:t>3、血清（浆）等液体：</w:t>
      </w:r>
      <w:r>
        <w:rPr>
          <w:rFonts w:hint="eastAsia" w:ascii="Times New Roman" w:hAnsi="Times New Roman" w:eastAsia="黑体" w:cs="Times New Roman"/>
          <w:b w:val="0"/>
          <w:bCs w:val="0"/>
          <w:sz w:val="18"/>
          <w:szCs w:val="18"/>
          <w:lang w:val="en-US" w:eastAsia="zh-CN"/>
        </w:rPr>
        <w:t>直接检测（若出现混浊，离心取上清使用）</w:t>
      </w:r>
    </w:p>
    <w:p w14:paraId="370D9B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/>
        <w:textAlignment w:val="auto"/>
        <w:outlineLvl w:val="0"/>
        <w:rPr>
          <w:rFonts w:hint="default" w:ascii="Times New Roman" w:hAnsi="Times New Roman" w:eastAsia="黑体" w:cs="Times New Roman"/>
          <w:b/>
          <w:bCs/>
          <w:color w:val="000000"/>
          <w:sz w:val="18"/>
          <w:szCs w:val="18"/>
          <w:lang w:eastAsia="zh-CN"/>
        </w:rPr>
      </w:pPr>
      <w:r>
        <w:rPr>
          <w:rFonts w:hint="default" w:ascii="Times New Roman" w:hAnsi="Times New Roman" w:eastAsia="黑体" w:cs="Times New Roman"/>
          <w:b/>
          <w:bCs/>
          <w:color w:val="000000"/>
          <w:sz w:val="18"/>
          <w:szCs w:val="18"/>
          <w:lang w:eastAsia="zh-CN"/>
        </w:rPr>
        <w:t>测定步骤</w:t>
      </w:r>
    </w:p>
    <w:p w14:paraId="19201B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/>
        <w:textAlignment w:val="auto"/>
        <w:outlineLvl w:val="0"/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</w:pPr>
      <w:r>
        <w:rPr>
          <w:rFonts w:hint="default" w:ascii="Times New Roman" w:hAnsi="Times New Roman" w:eastAsia="黑体" w:cs="Times New Roman"/>
          <w:sz w:val="18"/>
          <w:szCs w:val="18"/>
          <w:lang w:val="en-US" w:eastAsia="zh-CN" w:bidi="ar-SA"/>
        </w:rPr>
        <w:t>1、</w:t>
      </w:r>
      <w:r>
        <w:rPr>
          <w:rFonts w:hint="eastAsia" w:ascii="Times New Roman" w:hAnsi="Times New Roman" w:eastAsia="黑体" w:cs="Times New Roman"/>
          <w:sz w:val="18"/>
          <w:szCs w:val="18"/>
          <w:lang w:val="en-US" w:eastAsia="zh-CN"/>
        </w:rPr>
        <w:t>分光光度计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预热30min以上，调节波长至</w:t>
      </w:r>
      <w:r>
        <w:rPr>
          <w:rFonts w:hint="eastAsia" w:ascii="Times New Roman" w:hAnsi="Times New Roman" w:eastAsia="黑体" w:cs="Times New Roman"/>
          <w:sz w:val="18"/>
          <w:szCs w:val="18"/>
          <w:lang w:val="en-US" w:eastAsia="zh-CN"/>
        </w:rPr>
        <w:t>525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nm，蒸馏水调零。</w:t>
      </w:r>
    </w:p>
    <w:p w14:paraId="144939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360" w:lineRule="auto"/>
        <w:ind w:left="0" w:leftChars="0" w:hanging="425" w:firstLineChars="0"/>
        <w:jc w:val="left"/>
        <w:textAlignment w:val="auto"/>
        <w:outlineLvl w:val="0"/>
        <w:rPr>
          <w:rFonts w:hint="default" w:ascii="Times New Roman" w:hAnsi="Times New Roman" w:eastAsia="黑体" w:cs="Times New Roman"/>
          <w:color w:val="000000"/>
          <w:sz w:val="18"/>
          <w:szCs w:val="18"/>
          <w:lang w:eastAsia="zh-CN"/>
        </w:rPr>
      </w:pPr>
      <w:r>
        <w:rPr>
          <w:rFonts w:hint="default" w:ascii="Times New Roman" w:hAnsi="Times New Roman" w:eastAsia="黑体" w:cs="Times New Roman"/>
          <w:color w:val="000000"/>
          <w:sz w:val="18"/>
          <w:szCs w:val="18"/>
          <w:lang w:val="en-US" w:eastAsia="zh-CN" w:bidi="ar-SA"/>
        </w:rPr>
        <w:t>2</w:t>
      </w:r>
      <w:r>
        <w:rPr>
          <w:rFonts w:hint="default" w:ascii="Times New Roman" w:hAnsi="Times New Roman" w:eastAsia="黑体" w:cs="Times New Roman"/>
          <w:color w:val="000000"/>
          <w:sz w:val="21"/>
          <w:szCs w:val="21"/>
          <w:lang w:val="en-US" w:eastAsia="zh-CN" w:bidi="ar-SA"/>
        </w:rPr>
        <w:t>、</w:t>
      </w:r>
      <w:r>
        <w:rPr>
          <w:rFonts w:hint="eastAsia" w:ascii="Times New Roman" w:hAnsi="Times New Roman" w:eastAsia="黑体" w:cs="Times New Roman"/>
          <w:color w:val="000000"/>
          <w:sz w:val="21"/>
          <w:szCs w:val="21"/>
          <w:lang w:val="en-US" w:eastAsia="zh-CN" w:bidi="ar-SA"/>
        </w:rPr>
        <w:t xml:space="preserve"> </w:t>
      </w:r>
      <w:r>
        <w:rPr>
          <w:rFonts w:hint="default" w:ascii="Times New Roman" w:hAnsi="Times New Roman" w:eastAsia="黑体" w:cs="Times New Roman"/>
          <w:color w:val="000000"/>
          <w:sz w:val="18"/>
          <w:szCs w:val="18"/>
          <w:lang w:val="en-US" w:eastAsia="zh-CN" w:bidi="ar-SA"/>
        </w:rPr>
        <w:t>2、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测定前将试剂恢复至</w:t>
      </w:r>
      <w:r>
        <w:rPr>
          <w:rFonts w:hint="eastAsia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室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温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;</w:t>
      </w:r>
    </w:p>
    <w:p w14:paraId="7E50C8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/>
        <w:textAlignment w:val="auto"/>
        <w:outlineLvl w:val="0"/>
        <w:rPr>
          <w:rFonts w:hint="default" w:ascii="Times New Roman" w:hAnsi="Times New Roman" w:eastAsia="黑体" w:cs="Times New Roman"/>
          <w:color w:val="000000"/>
          <w:sz w:val="18"/>
          <w:szCs w:val="18"/>
          <w:lang w:val="en-US" w:eastAsia="zh-CN"/>
        </w:rPr>
      </w:pPr>
      <w:r>
        <w:rPr>
          <w:rFonts w:hint="default" w:ascii="Times New Roman" w:hAnsi="Times New Roman" w:eastAsia="黑体" w:cs="Times New Roman"/>
          <w:sz w:val="18"/>
          <w:szCs w:val="18"/>
          <w:lang w:val="en-US" w:eastAsia="zh-CN" w:bidi="ar-SA"/>
        </w:rPr>
        <w:t>3、</w:t>
      </w:r>
      <w:r>
        <w:rPr>
          <w:rFonts w:hint="eastAsia" w:ascii="Times New Roman" w:hAnsi="Times New Roman" w:eastAsia="黑体" w:cs="Times New Roman"/>
          <w:color w:val="000000"/>
          <w:sz w:val="18"/>
          <w:szCs w:val="18"/>
          <w:lang w:val="en-US" w:eastAsia="zh-CN"/>
        </w:rPr>
        <w:t>20</w:t>
      </w:r>
      <w:r>
        <w:rPr>
          <w:rFonts w:hint="default" w:ascii="Times New Roman" w:hAnsi="Times New Roman" w:eastAsia="黑体" w:cs="Times New Roman"/>
          <w:b w:val="0"/>
          <w:bCs w:val="0"/>
          <w:color w:val="000000"/>
          <w:sz w:val="18"/>
          <w:szCs w:val="18"/>
          <w:lang w:val="en-US" w:eastAsia="zh-CN"/>
        </w:rPr>
        <w:t>μ</w:t>
      </w:r>
      <w:r>
        <w:rPr>
          <w:rFonts w:hint="eastAsia" w:ascii="Times New Roman" w:hAnsi="Times New Roman" w:eastAsia="黑体" w:cs="Times New Roman"/>
          <w:b w:val="0"/>
          <w:bCs w:val="0"/>
          <w:color w:val="000000"/>
          <w:sz w:val="18"/>
          <w:szCs w:val="18"/>
          <w:lang w:val="en-US" w:eastAsia="zh-CN"/>
        </w:rPr>
        <w:t>mol/mL</w:t>
      </w:r>
      <w:r>
        <w:rPr>
          <w:rFonts w:hint="default" w:ascii="Times New Roman" w:hAnsi="Times New Roman" w:eastAsia="黑体" w:cs="Times New Roman"/>
          <w:color w:val="000000"/>
          <w:sz w:val="18"/>
          <w:szCs w:val="18"/>
          <w:lang w:val="en-US" w:eastAsia="zh-CN"/>
        </w:rPr>
        <w:t>标准品用蒸馏水依次稀释至</w:t>
      </w:r>
      <w:r>
        <w:rPr>
          <w:rFonts w:hint="eastAsia" w:ascii="Times New Roman" w:hAnsi="Times New Roman" w:eastAsia="黑体" w:cs="Times New Roman"/>
          <w:color w:val="000000"/>
          <w:sz w:val="18"/>
          <w:szCs w:val="18"/>
          <w:lang w:val="en-US" w:eastAsia="zh-CN"/>
        </w:rPr>
        <w:t>1</w:t>
      </w:r>
      <w:r>
        <w:rPr>
          <w:rFonts w:hint="default" w:ascii="Times New Roman" w:hAnsi="Times New Roman" w:eastAsia="黑体" w:cs="Times New Roman"/>
          <w:color w:val="000000"/>
          <w:sz w:val="18"/>
          <w:szCs w:val="18"/>
          <w:lang w:val="en-US" w:eastAsia="zh-CN"/>
        </w:rPr>
        <w:t>、</w:t>
      </w:r>
      <w:r>
        <w:rPr>
          <w:rFonts w:hint="eastAsia" w:ascii="Times New Roman" w:hAnsi="Times New Roman" w:eastAsia="黑体" w:cs="Times New Roman"/>
          <w:color w:val="000000"/>
          <w:sz w:val="18"/>
          <w:szCs w:val="18"/>
          <w:lang w:val="en-US" w:eastAsia="zh-CN"/>
        </w:rPr>
        <w:t>2</w:t>
      </w:r>
      <w:r>
        <w:rPr>
          <w:rFonts w:hint="default" w:ascii="Times New Roman" w:hAnsi="Times New Roman" w:eastAsia="黑体" w:cs="Times New Roman"/>
          <w:color w:val="000000"/>
          <w:sz w:val="18"/>
          <w:szCs w:val="18"/>
          <w:lang w:val="en-US" w:eastAsia="zh-CN"/>
        </w:rPr>
        <w:t>、</w:t>
      </w:r>
      <w:r>
        <w:rPr>
          <w:rFonts w:hint="eastAsia" w:ascii="Times New Roman" w:hAnsi="Times New Roman" w:eastAsia="黑体" w:cs="Times New Roman"/>
          <w:color w:val="000000"/>
          <w:sz w:val="18"/>
          <w:szCs w:val="18"/>
          <w:lang w:val="en-US" w:eastAsia="zh-CN"/>
        </w:rPr>
        <w:t>4、6</w:t>
      </w:r>
      <w:r>
        <w:rPr>
          <w:rFonts w:hint="default" w:ascii="Times New Roman" w:hAnsi="Times New Roman" w:eastAsia="黑体" w:cs="Times New Roman"/>
          <w:color w:val="000000"/>
          <w:sz w:val="18"/>
          <w:szCs w:val="18"/>
          <w:lang w:val="en-US" w:eastAsia="zh-CN"/>
        </w:rPr>
        <w:t>、</w:t>
      </w:r>
      <w:r>
        <w:rPr>
          <w:rFonts w:hint="eastAsia" w:ascii="Times New Roman" w:hAnsi="Times New Roman" w:eastAsia="黑体" w:cs="Times New Roman"/>
          <w:color w:val="000000"/>
          <w:sz w:val="18"/>
          <w:szCs w:val="18"/>
          <w:lang w:val="en-US" w:eastAsia="zh-CN"/>
        </w:rPr>
        <w:t>8</w:t>
      </w:r>
      <w:r>
        <w:rPr>
          <w:rFonts w:hint="default" w:ascii="Times New Roman" w:hAnsi="Times New Roman" w:eastAsia="黑体" w:cs="Times New Roman"/>
          <w:b w:val="0"/>
          <w:bCs w:val="0"/>
          <w:color w:val="000000"/>
          <w:sz w:val="18"/>
          <w:szCs w:val="18"/>
          <w:lang w:val="en-US" w:eastAsia="zh-CN"/>
        </w:rPr>
        <w:t>μ</w:t>
      </w:r>
      <w:r>
        <w:rPr>
          <w:rFonts w:hint="eastAsia" w:ascii="Times New Roman" w:hAnsi="Times New Roman" w:eastAsia="黑体" w:cs="Times New Roman"/>
          <w:b w:val="0"/>
          <w:bCs w:val="0"/>
          <w:color w:val="000000"/>
          <w:sz w:val="18"/>
          <w:szCs w:val="18"/>
          <w:lang w:val="en-US" w:eastAsia="zh-CN"/>
        </w:rPr>
        <w:t>mol/mL</w:t>
      </w:r>
      <w:r>
        <w:rPr>
          <w:rFonts w:hint="default" w:ascii="Times New Roman" w:hAnsi="Times New Roman" w:eastAsia="黑体" w:cs="Times New Roman"/>
          <w:color w:val="000000"/>
          <w:sz w:val="18"/>
          <w:szCs w:val="18"/>
          <w:lang w:val="en-US" w:eastAsia="zh-CN"/>
        </w:rPr>
        <w:t>，备用；</w:t>
      </w:r>
    </w:p>
    <w:p w14:paraId="04C66A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/>
        <w:textAlignment w:val="auto"/>
        <w:outlineLvl w:val="0"/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</w:pPr>
      <w:r>
        <w:rPr>
          <w:rFonts w:hint="eastAsia" w:ascii="Times New Roman" w:hAnsi="Times New Roman" w:eastAsia="黑体" w:cs="Times New Roman"/>
          <w:sz w:val="18"/>
          <w:szCs w:val="18"/>
          <w:lang w:val="en-US" w:eastAsia="zh-CN"/>
        </w:rPr>
        <w:t>4、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样本测定（在</w:t>
      </w:r>
      <w:r>
        <w:rPr>
          <w:rFonts w:hint="eastAsia" w:ascii="Times New Roman" w:hAnsi="Times New Roman" w:eastAsia="黑体" w:cs="Times New Roman"/>
          <w:sz w:val="18"/>
          <w:szCs w:val="18"/>
          <w:lang w:val="en-US" w:eastAsia="zh-CN"/>
        </w:rPr>
        <w:t>离心管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中依次加入下列试剂）：</w:t>
      </w:r>
    </w:p>
    <w:tbl>
      <w:tblPr>
        <w:tblStyle w:val="7"/>
        <w:tblW w:w="514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3"/>
        <w:gridCol w:w="1388"/>
        <w:gridCol w:w="1389"/>
        <w:gridCol w:w="1407"/>
      </w:tblGrid>
      <w:tr w14:paraId="7337F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341" w:type="pct"/>
            <w:vAlign w:val="top"/>
          </w:tcPr>
          <w:p w14:paraId="0FF49390">
            <w:pPr>
              <w:widowControl w:val="0"/>
              <w:spacing w:before="0" w:after="0"/>
              <w:jc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试剂名称</w:t>
            </w:r>
          </w:p>
        </w:tc>
        <w:tc>
          <w:tcPr>
            <w:tcW w:w="1214" w:type="pct"/>
            <w:vAlign w:val="top"/>
          </w:tcPr>
          <w:p w14:paraId="41A68A19">
            <w:pPr>
              <w:widowControl w:val="0"/>
              <w:spacing w:before="0" w:after="0"/>
              <w:jc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测定管</w:t>
            </w:r>
          </w:p>
        </w:tc>
        <w:tc>
          <w:tcPr>
            <w:tcW w:w="1215" w:type="pct"/>
            <w:vAlign w:val="top"/>
          </w:tcPr>
          <w:p w14:paraId="6DB531D7">
            <w:pPr>
              <w:widowControl w:val="0"/>
              <w:spacing w:before="0" w:after="0"/>
              <w:jc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空白管</w:t>
            </w:r>
          </w:p>
        </w:tc>
        <w:tc>
          <w:tcPr>
            <w:tcW w:w="1228" w:type="pct"/>
            <w:vAlign w:val="top"/>
          </w:tcPr>
          <w:p w14:paraId="57B015CC">
            <w:pPr>
              <w:widowControl w:val="0"/>
              <w:spacing w:before="0" w:after="0"/>
              <w:jc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标准管</w:t>
            </w:r>
          </w:p>
        </w:tc>
      </w:tr>
      <w:tr w14:paraId="1BEB3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341" w:type="pct"/>
            <w:vAlign w:val="center"/>
          </w:tcPr>
          <w:p w14:paraId="45C85D5E">
            <w:pPr>
              <w:widowControl w:val="0"/>
              <w:spacing w:before="0" w:after="0"/>
              <w:jc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样品（μL）</w:t>
            </w:r>
          </w:p>
        </w:tc>
        <w:tc>
          <w:tcPr>
            <w:tcW w:w="1214" w:type="pct"/>
            <w:vAlign w:val="center"/>
          </w:tcPr>
          <w:p w14:paraId="1DFBC842">
            <w:pPr>
              <w:widowControl w:val="0"/>
              <w:spacing w:before="0" w:after="0"/>
              <w:jc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1215" w:type="pct"/>
            <w:vAlign w:val="center"/>
          </w:tcPr>
          <w:p w14:paraId="6B642779">
            <w:pPr>
              <w:widowControl w:val="0"/>
              <w:spacing w:before="0" w:after="0"/>
              <w:jc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228" w:type="pct"/>
            <w:vAlign w:val="center"/>
          </w:tcPr>
          <w:p w14:paraId="75DC10FE">
            <w:pPr>
              <w:widowControl w:val="0"/>
              <w:spacing w:before="0" w:after="0"/>
              <w:jc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-</w:t>
            </w:r>
          </w:p>
        </w:tc>
      </w:tr>
      <w:tr w14:paraId="1A7B9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341" w:type="pct"/>
            <w:vAlign w:val="center"/>
          </w:tcPr>
          <w:p w14:paraId="5534BACF">
            <w:pPr>
              <w:widowControl w:val="0"/>
              <w:spacing w:before="0" w:after="0"/>
              <w:jc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蒸馏水（μL）</w:t>
            </w:r>
          </w:p>
        </w:tc>
        <w:tc>
          <w:tcPr>
            <w:tcW w:w="1214" w:type="pct"/>
            <w:vAlign w:val="center"/>
          </w:tcPr>
          <w:p w14:paraId="7282B5A5">
            <w:pPr>
              <w:widowControl w:val="0"/>
              <w:spacing w:before="0" w:after="0"/>
              <w:jc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215" w:type="pct"/>
            <w:vAlign w:val="center"/>
          </w:tcPr>
          <w:p w14:paraId="3CE04C32">
            <w:pPr>
              <w:widowControl w:val="0"/>
              <w:spacing w:before="0" w:after="0"/>
              <w:jc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1228" w:type="pct"/>
            <w:vAlign w:val="center"/>
          </w:tcPr>
          <w:p w14:paraId="029F13F9">
            <w:pPr>
              <w:widowControl w:val="0"/>
              <w:spacing w:before="0" w:after="0"/>
              <w:jc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-</w:t>
            </w:r>
          </w:p>
        </w:tc>
      </w:tr>
      <w:tr w14:paraId="69295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341" w:type="pct"/>
            <w:vAlign w:val="center"/>
          </w:tcPr>
          <w:p w14:paraId="4FCA8C7A">
            <w:pPr>
              <w:widowControl w:val="0"/>
              <w:spacing w:before="0" w:after="0"/>
              <w:jc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标准品（μL）</w:t>
            </w:r>
          </w:p>
        </w:tc>
        <w:tc>
          <w:tcPr>
            <w:tcW w:w="1214" w:type="pct"/>
            <w:vAlign w:val="center"/>
          </w:tcPr>
          <w:p w14:paraId="3EB67978">
            <w:pPr>
              <w:widowControl w:val="0"/>
              <w:spacing w:before="0" w:after="0"/>
              <w:jc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1215" w:type="pct"/>
            <w:vAlign w:val="center"/>
          </w:tcPr>
          <w:p w14:paraId="54F30AB9">
            <w:pPr>
              <w:widowControl w:val="0"/>
              <w:spacing w:before="0" w:after="0"/>
              <w:jc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1228" w:type="pct"/>
            <w:vAlign w:val="center"/>
          </w:tcPr>
          <w:p w14:paraId="7219C319">
            <w:pPr>
              <w:widowControl w:val="0"/>
              <w:spacing w:before="0" w:after="0"/>
              <w:jc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100</w:t>
            </w:r>
          </w:p>
        </w:tc>
      </w:tr>
      <w:tr w14:paraId="1D483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341" w:type="pct"/>
            <w:vAlign w:val="center"/>
          </w:tcPr>
          <w:p w14:paraId="184F83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试剂一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（μL）</w:t>
            </w:r>
          </w:p>
        </w:tc>
        <w:tc>
          <w:tcPr>
            <w:tcW w:w="1214" w:type="pct"/>
            <w:vAlign w:val="center"/>
          </w:tcPr>
          <w:p w14:paraId="78920EAD">
            <w:pPr>
              <w:widowControl w:val="0"/>
              <w:spacing w:before="0" w:after="0"/>
              <w:jc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300</w:t>
            </w:r>
          </w:p>
        </w:tc>
        <w:tc>
          <w:tcPr>
            <w:tcW w:w="1215" w:type="pct"/>
            <w:vAlign w:val="center"/>
          </w:tcPr>
          <w:p w14:paraId="22642FD1">
            <w:pPr>
              <w:widowControl w:val="0"/>
              <w:spacing w:before="0" w:after="0"/>
              <w:jc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300</w:t>
            </w:r>
          </w:p>
        </w:tc>
        <w:tc>
          <w:tcPr>
            <w:tcW w:w="1228" w:type="pct"/>
            <w:vAlign w:val="center"/>
          </w:tcPr>
          <w:p w14:paraId="1EBD7241">
            <w:pPr>
              <w:widowControl w:val="0"/>
              <w:spacing w:before="0" w:after="0"/>
              <w:jc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300</w:t>
            </w:r>
          </w:p>
        </w:tc>
      </w:tr>
      <w:tr w14:paraId="1D691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341" w:type="pct"/>
            <w:vAlign w:val="center"/>
          </w:tcPr>
          <w:p w14:paraId="76CED0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试剂二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（μL）</w:t>
            </w:r>
          </w:p>
        </w:tc>
        <w:tc>
          <w:tcPr>
            <w:tcW w:w="1214" w:type="pct"/>
            <w:vAlign w:val="center"/>
          </w:tcPr>
          <w:p w14:paraId="35B06D51">
            <w:pPr>
              <w:widowControl w:val="0"/>
              <w:spacing w:before="0" w:after="0"/>
              <w:jc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400</w:t>
            </w:r>
          </w:p>
        </w:tc>
        <w:tc>
          <w:tcPr>
            <w:tcW w:w="1215" w:type="pct"/>
            <w:vAlign w:val="center"/>
          </w:tcPr>
          <w:p w14:paraId="4AF9C16A">
            <w:pPr>
              <w:widowControl w:val="0"/>
              <w:spacing w:before="0" w:after="0"/>
              <w:jc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400</w:t>
            </w:r>
          </w:p>
        </w:tc>
        <w:tc>
          <w:tcPr>
            <w:tcW w:w="1228" w:type="pct"/>
            <w:vAlign w:val="center"/>
          </w:tcPr>
          <w:p w14:paraId="2A182B51">
            <w:pPr>
              <w:widowControl w:val="0"/>
              <w:spacing w:before="0" w:after="0"/>
              <w:jc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400</w:t>
            </w:r>
          </w:p>
        </w:tc>
      </w:tr>
      <w:tr w14:paraId="6AE0F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5000" w:type="pct"/>
            <w:gridSpan w:val="4"/>
            <w:vAlign w:val="center"/>
          </w:tcPr>
          <w:p w14:paraId="6B9A5F70">
            <w:pPr>
              <w:widowControl w:val="0"/>
              <w:spacing w:before="0" w:after="0"/>
              <w:jc w:val="left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混合均匀，沸水浴10min</w:t>
            </w: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。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冷却</w:t>
            </w: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至室温后，8000 g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离心</w:t>
            </w: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10 min，取上清液备用。</w:t>
            </w:r>
          </w:p>
        </w:tc>
      </w:tr>
      <w:tr w14:paraId="0EA66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341" w:type="pct"/>
            <w:shd w:val="clear" w:color="auto" w:fill="auto"/>
            <w:vAlign w:val="center"/>
          </w:tcPr>
          <w:p w14:paraId="4346C43A">
            <w:pPr>
              <w:widowControl w:val="0"/>
              <w:spacing w:before="0" w:after="0"/>
              <w:jc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上清液</w:t>
            </w:r>
          </w:p>
        </w:tc>
        <w:tc>
          <w:tcPr>
            <w:tcW w:w="1214" w:type="pct"/>
            <w:shd w:val="clear" w:color="auto" w:fill="auto"/>
            <w:vAlign w:val="center"/>
          </w:tcPr>
          <w:p w14:paraId="0CC4CE24">
            <w:pPr>
              <w:widowControl w:val="0"/>
              <w:spacing w:before="0" w:after="0"/>
              <w:jc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200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0CAA2C24">
            <w:pPr>
              <w:widowControl w:val="0"/>
              <w:spacing w:before="0" w:after="0"/>
              <w:jc w:val="center"/>
              <w:outlineLvl w:val="0"/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200</w:t>
            </w:r>
          </w:p>
        </w:tc>
        <w:tc>
          <w:tcPr>
            <w:tcW w:w="1228" w:type="pct"/>
            <w:shd w:val="clear" w:color="auto" w:fill="auto"/>
            <w:vAlign w:val="center"/>
          </w:tcPr>
          <w:p w14:paraId="2CB96201">
            <w:pPr>
              <w:widowControl w:val="0"/>
              <w:spacing w:before="0" w:after="0"/>
              <w:jc w:val="center"/>
              <w:outlineLvl w:val="0"/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200</w:t>
            </w:r>
          </w:p>
        </w:tc>
      </w:tr>
      <w:tr w14:paraId="0DAC9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341" w:type="pct"/>
            <w:shd w:val="clear" w:color="auto" w:fill="auto"/>
            <w:vAlign w:val="center"/>
          </w:tcPr>
          <w:p w14:paraId="1BCF70F9">
            <w:pPr>
              <w:widowControl w:val="0"/>
              <w:spacing w:before="0" w:after="0"/>
              <w:jc w:val="center"/>
              <w:outlineLvl w:val="0"/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试剂三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（μL）</w:t>
            </w:r>
          </w:p>
        </w:tc>
        <w:tc>
          <w:tcPr>
            <w:tcW w:w="1214" w:type="pct"/>
            <w:shd w:val="clear" w:color="auto" w:fill="auto"/>
            <w:vAlign w:val="center"/>
          </w:tcPr>
          <w:p w14:paraId="783A9C21">
            <w:pPr>
              <w:widowControl w:val="0"/>
              <w:spacing w:before="0" w:after="0"/>
              <w:jc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400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141A40B9">
            <w:pPr>
              <w:widowControl w:val="0"/>
              <w:spacing w:before="0" w:after="0"/>
              <w:jc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400</w:t>
            </w:r>
          </w:p>
        </w:tc>
        <w:tc>
          <w:tcPr>
            <w:tcW w:w="1228" w:type="pct"/>
            <w:shd w:val="clear" w:color="auto" w:fill="auto"/>
            <w:vAlign w:val="center"/>
          </w:tcPr>
          <w:p w14:paraId="383846D8">
            <w:pPr>
              <w:widowControl w:val="0"/>
              <w:spacing w:before="0" w:after="0"/>
              <w:jc w:val="center"/>
              <w:outlineLvl w:val="0"/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400</w:t>
            </w:r>
          </w:p>
        </w:tc>
      </w:tr>
      <w:tr w14:paraId="20F63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341" w:type="pct"/>
            <w:shd w:val="clear" w:color="auto" w:fill="auto"/>
            <w:vAlign w:val="center"/>
          </w:tcPr>
          <w:p w14:paraId="2EFDF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试剂四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（μL）</w:t>
            </w:r>
          </w:p>
        </w:tc>
        <w:tc>
          <w:tcPr>
            <w:tcW w:w="1214" w:type="pct"/>
            <w:shd w:val="clear" w:color="auto" w:fill="auto"/>
            <w:vAlign w:val="center"/>
          </w:tcPr>
          <w:p w14:paraId="100277DA">
            <w:pPr>
              <w:widowControl w:val="0"/>
              <w:spacing w:before="0" w:after="0"/>
              <w:jc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200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76A6BD00">
            <w:pPr>
              <w:widowControl w:val="0"/>
              <w:spacing w:before="0" w:after="0"/>
              <w:jc w:val="center"/>
              <w:outlineLvl w:val="0"/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200</w:t>
            </w:r>
          </w:p>
        </w:tc>
        <w:tc>
          <w:tcPr>
            <w:tcW w:w="1228" w:type="pct"/>
            <w:shd w:val="clear" w:color="auto" w:fill="auto"/>
            <w:vAlign w:val="center"/>
          </w:tcPr>
          <w:p w14:paraId="0A5EFC40">
            <w:pPr>
              <w:widowControl w:val="0"/>
              <w:spacing w:before="0" w:after="0"/>
              <w:jc w:val="center"/>
              <w:outlineLvl w:val="0"/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200</w:t>
            </w:r>
          </w:p>
        </w:tc>
      </w:tr>
      <w:tr w14:paraId="03199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21B8CDCF">
            <w:pPr>
              <w:widowControl w:val="0"/>
              <w:spacing w:before="0" w:after="0"/>
              <w:jc w:val="center"/>
              <w:outlineLvl w:val="0"/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混合均匀</w:t>
            </w: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，60℃水浴10min</w:t>
            </w:r>
          </w:p>
        </w:tc>
      </w:tr>
      <w:tr w14:paraId="792E8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341" w:type="pct"/>
            <w:shd w:val="clear" w:color="auto" w:fill="auto"/>
            <w:vAlign w:val="center"/>
          </w:tcPr>
          <w:p w14:paraId="2F70A2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试剂</w:t>
            </w: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五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（μL）</w:t>
            </w:r>
          </w:p>
        </w:tc>
        <w:tc>
          <w:tcPr>
            <w:tcW w:w="1214" w:type="pct"/>
            <w:shd w:val="clear" w:color="auto" w:fill="auto"/>
            <w:vAlign w:val="center"/>
          </w:tcPr>
          <w:p w14:paraId="632B9117">
            <w:pPr>
              <w:widowControl w:val="0"/>
              <w:spacing w:before="0" w:after="0"/>
              <w:jc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2007A781">
            <w:pPr>
              <w:widowControl w:val="0"/>
              <w:spacing w:before="0" w:after="0"/>
              <w:jc w:val="center"/>
              <w:outlineLvl w:val="0"/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1228" w:type="pct"/>
            <w:shd w:val="clear" w:color="auto" w:fill="auto"/>
            <w:vAlign w:val="center"/>
          </w:tcPr>
          <w:p w14:paraId="4E6B827A">
            <w:pPr>
              <w:widowControl w:val="0"/>
              <w:spacing w:before="0" w:after="0"/>
              <w:jc w:val="center"/>
              <w:outlineLvl w:val="0"/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100</w:t>
            </w:r>
          </w:p>
        </w:tc>
      </w:tr>
      <w:tr w14:paraId="31A2E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127FDCA9">
            <w:pPr>
              <w:widowControl w:val="0"/>
              <w:spacing w:before="0" w:after="0"/>
              <w:jc w:val="center"/>
              <w:outlineLvl w:val="0"/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混合均匀</w:t>
            </w: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，静置5min</w:t>
            </w:r>
          </w:p>
        </w:tc>
      </w:tr>
      <w:tr w14:paraId="1583B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341" w:type="pct"/>
            <w:shd w:val="clear" w:color="auto" w:fill="auto"/>
            <w:vAlign w:val="center"/>
          </w:tcPr>
          <w:p w14:paraId="7EE2B3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试剂</w:t>
            </w: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六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（μL）</w:t>
            </w:r>
          </w:p>
        </w:tc>
        <w:tc>
          <w:tcPr>
            <w:tcW w:w="1214" w:type="pct"/>
            <w:shd w:val="clear" w:color="auto" w:fill="auto"/>
            <w:vAlign w:val="center"/>
          </w:tcPr>
          <w:p w14:paraId="68A30E89">
            <w:pPr>
              <w:widowControl w:val="0"/>
              <w:spacing w:before="0" w:after="0"/>
              <w:jc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1322BD57">
            <w:pPr>
              <w:widowControl w:val="0"/>
              <w:spacing w:before="0" w:after="0"/>
              <w:jc w:val="center"/>
              <w:outlineLvl w:val="0"/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1228" w:type="pct"/>
            <w:shd w:val="clear" w:color="auto" w:fill="auto"/>
            <w:vAlign w:val="center"/>
          </w:tcPr>
          <w:p w14:paraId="117EF9EF">
            <w:pPr>
              <w:widowControl w:val="0"/>
              <w:spacing w:before="0" w:after="0"/>
              <w:jc w:val="center"/>
              <w:outlineLvl w:val="0"/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100</w:t>
            </w:r>
          </w:p>
        </w:tc>
      </w:tr>
      <w:tr w14:paraId="76CCD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5000" w:type="pct"/>
            <w:gridSpan w:val="4"/>
            <w:vAlign w:val="center"/>
          </w:tcPr>
          <w:p w14:paraId="77C76CDB">
            <w:pPr>
              <w:widowControl w:val="0"/>
              <w:spacing w:before="0" w:after="0"/>
              <w:jc w:val="left"/>
              <w:outlineLvl w:val="0"/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混匀，</w:t>
            </w: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静置10min，显色完全后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于波长</w:t>
            </w: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525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nm</w:t>
            </w: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处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测定各管吸光度。分别记为 A</w:t>
            </w:r>
            <w:bookmarkStart w:id="0" w:name="_GoBack"/>
            <w:bookmarkEnd w:id="0"/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vertAlign w:val="subscript"/>
                <w:lang w:val="en-US" w:eastAsia="zh-CN"/>
              </w:rPr>
              <w:t>空白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highlight w:val="none"/>
                <w:vertAlign w:val="subscript"/>
                <w:lang w:val="en-US" w:eastAsia="zh-CN"/>
              </w:rPr>
              <w:t>标准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 xml:space="preserve">A 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vertAlign w:val="subscript"/>
                <w:lang w:val="en-US" w:eastAsia="zh-CN"/>
              </w:rPr>
              <w:t>测定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ΔA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vertAlign w:val="subscript"/>
                <w:lang w:val="en-US" w:eastAsia="zh-CN"/>
              </w:rPr>
              <w:t>测定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=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A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vertAlign w:val="subscript"/>
                <w:lang w:eastAsia="zh-CN"/>
              </w:rPr>
              <w:t>测定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-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 xml:space="preserve"> A</w:t>
            </w:r>
            <w:r>
              <w:rPr>
                <w:rFonts w:hint="eastAsia" w:ascii="Times New Roman" w:hAnsi="Times New Roman" w:eastAsia="黑体" w:cs="Times New Roman"/>
                <w:color w:val="000000"/>
                <w:sz w:val="18"/>
                <w:szCs w:val="18"/>
                <w:vertAlign w:val="subscript"/>
                <w:lang w:val="en-US" w:eastAsia="zh-CN"/>
              </w:rPr>
              <w:t>空白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，ΔA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vertAlign w:val="subscript"/>
                <w:lang w:val="en-US" w:eastAsia="zh-CN"/>
              </w:rPr>
              <w:t>标准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=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>A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vertAlign w:val="subscript"/>
                <w:lang w:val="en-US" w:eastAsia="zh-CN"/>
              </w:rPr>
              <w:t>标准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eastAsia="zh-CN"/>
              </w:rPr>
              <w:t>-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lang w:val="en-US" w:eastAsia="zh-CN"/>
              </w:rPr>
              <w:t xml:space="preserve"> A</w:t>
            </w:r>
            <w:r>
              <w:rPr>
                <w:rFonts w:hint="default" w:ascii="Times New Roman" w:hAnsi="Times New Roman" w:eastAsia="黑体" w:cs="Times New Roman"/>
                <w:color w:val="000000"/>
                <w:sz w:val="18"/>
                <w:szCs w:val="18"/>
                <w:vertAlign w:val="subscript"/>
                <w:lang w:val="en-US" w:eastAsia="zh-CN"/>
              </w:rPr>
              <w:t>空白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标准曲线和空白管只需做 1-2 次。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）</w:t>
            </w:r>
          </w:p>
        </w:tc>
      </w:tr>
    </w:tbl>
    <w:p w14:paraId="27009DF0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425" w:leftChars="0" w:hanging="425" w:firstLineChars="0"/>
        <w:jc w:val="left"/>
        <w:textAlignment w:val="auto"/>
        <w:outlineLvl w:val="0"/>
        <w:rPr>
          <w:rFonts w:hint="default" w:ascii="Times New Roman" w:hAnsi="Times New Roman" w:eastAsia="黑体" w:cs="Times New Roman"/>
          <w:b/>
          <w:bCs/>
          <w:color w:val="000000"/>
          <w:sz w:val="18"/>
          <w:szCs w:val="18"/>
          <w:lang w:eastAsia="zh-CN"/>
        </w:rPr>
      </w:pPr>
      <w:r>
        <w:rPr>
          <w:rFonts w:hint="default" w:ascii="Times New Roman" w:hAnsi="Times New Roman" w:eastAsia="黑体" w:cs="Times New Roman"/>
          <w:b/>
          <w:bCs/>
          <w:color w:val="000000"/>
          <w:sz w:val="18"/>
          <w:szCs w:val="18"/>
          <w:lang w:val="en-US" w:eastAsia="zh-CN"/>
        </w:rPr>
        <w:t>总一氧化氮（NO）含量测定</w:t>
      </w:r>
      <w:r>
        <w:rPr>
          <w:rFonts w:hint="default" w:ascii="Times New Roman" w:hAnsi="Times New Roman" w:eastAsia="黑体" w:cs="Times New Roman"/>
          <w:b/>
          <w:bCs/>
          <w:color w:val="000000"/>
          <w:sz w:val="18"/>
          <w:szCs w:val="18"/>
          <w:lang w:eastAsia="zh-CN"/>
        </w:rPr>
        <w:t xml:space="preserve">： </w:t>
      </w:r>
    </w:p>
    <w:p w14:paraId="1945821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hanging="180" w:hangingChars="100"/>
        <w:jc w:val="left"/>
        <w:textAlignment w:val="auto"/>
        <w:outlineLvl w:val="0"/>
        <w:rPr>
          <w:rFonts w:hint="default" w:ascii="Times New Roman" w:hAnsi="Times New Roman" w:eastAsia="黑体" w:cs="Times New Roman"/>
          <w:b w:val="0"/>
          <w:bCs w:val="0"/>
          <w:color w:val="000000"/>
          <w:sz w:val="18"/>
          <w:szCs w:val="18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1、标准曲线绘制：以ΔA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vertAlign w:val="subscript"/>
          <w:lang w:val="en-US" w:eastAsia="zh-CN"/>
          <w14:textFill>
            <w14:solidFill>
              <w14:schemeClr w14:val="tx1"/>
            </w14:solidFill>
          </w14:textFill>
        </w:rPr>
        <w:t>标准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吸光度值为横坐标，标准品浓度为纵坐标，绘制标准曲线y =kx+ b，x为吸光度值，y为标准品浓度（</w:t>
      </w:r>
      <w:r>
        <w:rPr>
          <w:rFonts w:hint="default" w:ascii="Times New Roman" w:hAnsi="Times New Roman" w:eastAsia="黑体" w:cs="Times New Roman"/>
          <w:b w:val="0"/>
          <w:bCs w:val="0"/>
          <w:color w:val="000000"/>
          <w:sz w:val="18"/>
          <w:szCs w:val="18"/>
          <w:lang w:val="en-US" w:eastAsia="zh-CN"/>
        </w:rPr>
        <w:t>μ</w:t>
      </w:r>
      <w:r>
        <w:rPr>
          <w:rFonts w:hint="eastAsia" w:ascii="Times New Roman" w:hAnsi="Times New Roman" w:eastAsia="黑体" w:cs="Times New Roman"/>
          <w:b w:val="0"/>
          <w:bCs w:val="0"/>
          <w:color w:val="000000"/>
          <w:sz w:val="18"/>
          <w:szCs w:val="18"/>
          <w:lang w:val="en-US" w:eastAsia="zh-CN"/>
        </w:rPr>
        <w:t>mol/mL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）。根据标准曲线，将ΔA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vertAlign w:val="subscript"/>
          <w:lang w:val="en-US" w:eastAsia="zh-CN"/>
          <w14:textFill>
            <w14:solidFill>
              <w14:schemeClr w14:val="tx1"/>
            </w14:solidFill>
          </w14:textFill>
        </w:rPr>
        <w:t>测定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带入公式计算出样本浓度（y，</w:t>
      </w:r>
      <w:r>
        <w:rPr>
          <w:rFonts w:hint="default" w:ascii="Times New Roman" w:hAnsi="Times New Roman" w:eastAsia="黑体" w:cs="Times New Roman"/>
          <w:b w:val="0"/>
          <w:bCs w:val="0"/>
          <w:color w:val="000000"/>
          <w:sz w:val="18"/>
          <w:szCs w:val="18"/>
          <w:lang w:val="en-US" w:eastAsia="zh-CN"/>
        </w:rPr>
        <w:t>μ</w:t>
      </w:r>
      <w:r>
        <w:rPr>
          <w:rFonts w:hint="eastAsia" w:ascii="Times New Roman" w:hAnsi="Times New Roman" w:eastAsia="黑体" w:cs="Times New Roman"/>
          <w:b w:val="0"/>
          <w:bCs w:val="0"/>
          <w:color w:val="000000"/>
          <w:sz w:val="18"/>
          <w:szCs w:val="18"/>
          <w:lang w:val="en-US" w:eastAsia="zh-CN"/>
        </w:rPr>
        <w:t>mol/mL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）；</w:t>
      </w:r>
    </w:p>
    <w:p w14:paraId="44472415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after="0" w:line="360" w:lineRule="auto"/>
        <w:ind w:left="0" w:leftChars="0"/>
        <w:jc w:val="left"/>
        <w:textAlignment w:val="auto"/>
        <w:outlineLvl w:val="0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液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体样本</w:t>
      </w:r>
      <w:r>
        <w:rPr>
          <w:rFonts w:hint="default" w:ascii="Times New Roman" w:hAnsi="Times New Roman" w:eastAsia="黑体" w:cs="Times New Roman"/>
          <w:b w:val="0"/>
          <w:bCs w:val="0"/>
          <w:color w:val="000000"/>
          <w:spacing w:val="1"/>
          <w:sz w:val="18"/>
          <w:szCs w:val="18"/>
          <w:lang w:val="en-US" w:eastAsia="zh-CN"/>
        </w:rPr>
        <w:t>总一氧化氮（NO）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含量计算</w:t>
      </w:r>
    </w:p>
    <w:p w14:paraId="6828FCE4"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before="0" w:after="0" w:line="360" w:lineRule="auto"/>
        <w:ind w:left="0" w:leftChars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spacing w:val="1"/>
          <w:sz w:val="18"/>
          <w:szCs w:val="18"/>
          <w:lang w:val="en-US" w:eastAsia="zh-CN"/>
        </w:rPr>
        <w:t>NO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黑体" w:cs="Times New Roman"/>
          <w:b w:val="0"/>
          <w:bCs w:val="0"/>
          <w:color w:val="000000"/>
          <w:sz w:val="18"/>
          <w:szCs w:val="18"/>
          <w:lang w:val="en-US" w:eastAsia="zh-CN"/>
        </w:rPr>
        <w:t>μ</w:t>
      </w:r>
      <w:r>
        <w:rPr>
          <w:rFonts w:hint="eastAsia" w:ascii="Times New Roman" w:hAnsi="Times New Roman" w:eastAsia="黑体" w:cs="Times New Roman"/>
          <w:b w:val="0"/>
          <w:bCs w:val="0"/>
          <w:color w:val="000000"/>
          <w:sz w:val="18"/>
          <w:szCs w:val="18"/>
          <w:lang w:val="en-US" w:eastAsia="zh-CN"/>
        </w:rPr>
        <w:t>mol/mL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）= y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vertAlign w:val="subscript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43F09D19"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before="0" w:after="0" w:line="360" w:lineRule="auto"/>
        <w:ind w:left="0" w:leftChars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3、组织样本</w:t>
      </w:r>
      <w:r>
        <w:rPr>
          <w:rFonts w:hint="default" w:ascii="Times New Roman" w:hAnsi="Times New Roman" w:eastAsia="黑体" w:cs="Times New Roman"/>
          <w:b w:val="0"/>
          <w:bCs w:val="0"/>
          <w:color w:val="000000"/>
          <w:spacing w:val="1"/>
          <w:sz w:val="18"/>
          <w:szCs w:val="18"/>
          <w:lang w:val="en-US" w:eastAsia="zh-CN"/>
        </w:rPr>
        <w:t>总一氧化氮（NO）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含量计算</w:t>
      </w:r>
    </w:p>
    <w:p w14:paraId="3A087D7D"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before="0" w:after="0" w:line="360" w:lineRule="auto"/>
        <w:ind w:left="0" w:leftChars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(1)按样本鲜重计算：</w:t>
      </w:r>
    </w:p>
    <w:p w14:paraId="477E1E88"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before="0" w:after="0" w:line="360" w:lineRule="auto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spacing w:val="1"/>
          <w:sz w:val="18"/>
          <w:szCs w:val="18"/>
          <w:lang w:val="en-US" w:eastAsia="zh-CN"/>
        </w:rPr>
        <w:t>NO</w:t>
      </w:r>
      <w:r>
        <w:rPr>
          <w:rFonts w:hint="eastAsia" w:ascii="Times New Roman" w:hAnsi="Times New Roman" w:eastAsia="黑体" w:cs="Times New Roman"/>
          <w:b w:val="0"/>
          <w:bCs w:val="0"/>
          <w:color w:val="000000"/>
          <w:spacing w:val="1"/>
          <w:sz w:val="18"/>
          <w:szCs w:val="18"/>
          <w:lang w:val="en-US" w:eastAsia="zh-CN"/>
        </w:rPr>
        <w:t>（</w:t>
      </w:r>
      <w:r>
        <w:rPr>
          <w:rFonts w:hint="default" w:ascii="Times New Roman" w:hAnsi="Times New Roman" w:eastAsia="黑体" w:cs="Times New Roman"/>
          <w:b w:val="0"/>
          <w:bCs w:val="0"/>
          <w:color w:val="000000"/>
          <w:sz w:val="18"/>
          <w:szCs w:val="18"/>
          <w:lang w:val="en-US" w:eastAsia="zh-CN"/>
        </w:rPr>
        <w:t>μ</w:t>
      </w:r>
      <w:r>
        <w:rPr>
          <w:rFonts w:hint="eastAsia" w:ascii="Times New Roman" w:hAnsi="Times New Roman" w:eastAsia="黑体" w:cs="Times New Roman"/>
          <w:b w:val="0"/>
          <w:bCs w:val="0"/>
          <w:color w:val="000000"/>
          <w:sz w:val="18"/>
          <w:szCs w:val="18"/>
          <w:lang w:val="en-US" w:eastAsia="zh-CN"/>
        </w:rPr>
        <w:t>mol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 xml:space="preserve">/g 质量）= y 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eastAsia="zh-CN"/>
          <w14:textFill>
            <w14:solidFill>
              <w14:schemeClr w14:val="tx1"/>
            </w14:solidFill>
          </w14:textFill>
        </w:rPr>
        <w:t>×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eastAsia="zh-CN"/>
          <w14:textFill>
            <w14:solidFill>
              <w14:schemeClr w14:val="tx1"/>
            </w14:solidFill>
          </w14:textFill>
        </w:rPr>
        <w:t>V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vertAlign w:val="subscript"/>
          <w:lang w:eastAsia="zh-CN"/>
          <w14:textFill>
            <w14:solidFill>
              <w14:schemeClr w14:val="tx1"/>
            </w14:solidFill>
          </w14:textFill>
        </w:rPr>
        <w:t>样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vertAlign w:val="subscript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eastAsia="zh-CN"/>
          <w14:textFill>
            <w14:solidFill>
              <w14:schemeClr w14:val="tx1"/>
            </w14:solidFill>
          </w14:textFill>
        </w:rPr>
        <w:t>÷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eastAsia="zh-CN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 xml:space="preserve"> W 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eastAsia="zh-CN"/>
          <w14:textFill>
            <w14:solidFill>
              <w14:schemeClr w14:val="tx1"/>
            </w14:solidFill>
          </w14:textFill>
        </w:rPr>
        <w:t>×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eastAsia="zh-CN"/>
          <w14:textFill>
            <w14:solidFill>
              <w14:schemeClr w14:val="tx1"/>
            </w14:solidFill>
          </w14:textFill>
        </w:rPr>
        <w:t>V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vertAlign w:val="subscript"/>
          <w:lang w:eastAsia="zh-CN"/>
          <w14:textFill>
            <w14:solidFill>
              <w14:schemeClr w14:val="tx1"/>
            </w14:solidFill>
          </w14:textFill>
        </w:rPr>
        <w:t>样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vertAlign w:val="subscript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eastAsia="zh-CN"/>
          <w14:textFill>
            <w14:solidFill>
              <w14:schemeClr w14:val="tx1"/>
            </w14:solidFill>
          </w14:textFill>
        </w:rPr>
        <w:t>÷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eastAsia="zh-CN"/>
          <w14:textFill>
            <w14:solidFill>
              <w14:schemeClr w14:val="tx1"/>
            </w14:solidFill>
          </w14:textFill>
        </w:rPr>
        <w:t>V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vertAlign w:val="subscript"/>
          <w:lang w:eastAsia="zh-CN"/>
          <w14:textFill>
            <w14:solidFill>
              <w14:schemeClr w14:val="tx1"/>
            </w14:solidFill>
          </w14:textFill>
        </w:rPr>
        <w:t>样总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vertAlign w:val="subscript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eastAsia="zh-CN"/>
          <w14:textFill>
            <w14:solidFill>
              <w14:schemeClr w14:val="tx1"/>
            </w14:solidFill>
          </w14:textFill>
        </w:rPr>
        <w:t>)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=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y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eastAsia="zh-CN"/>
          <w14:textFill>
            <w14:solidFill>
              <w14:schemeClr w14:val="tx1"/>
            </w14:solidFill>
          </w14:textFill>
        </w:rPr>
        <w:t>÷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 xml:space="preserve"> W</w:t>
      </w:r>
    </w:p>
    <w:p w14:paraId="2117B860"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before="0" w:after="0" w:line="360" w:lineRule="auto"/>
        <w:ind w:left="0" w:leftChars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(2)按样本蛋白浓度计算：</w:t>
      </w:r>
    </w:p>
    <w:p w14:paraId="41F76B6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N/>
        <w:bidi w:val="0"/>
        <w:adjustRightInd/>
        <w:snapToGrid/>
        <w:spacing w:before="0" w:after="0" w:line="360" w:lineRule="auto"/>
        <w:ind w:leftChars="0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spacing w:val="1"/>
          <w:sz w:val="18"/>
          <w:szCs w:val="18"/>
          <w:lang w:val="en-US" w:eastAsia="zh-CN"/>
        </w:rPr>
        <w:t>NO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黑体" w:cs="Times New Roman"/>
          <w:b w:val="0"/>
          <w:bCs w:val="0"/>
          <w:color w:val="000000"/>
          <w:sz w:val="18"/>
          <w:szCs w:val="18"/>
          <w:lang w:val="en-US" w:eastAsia="zh-CN"/>
        </w:rPr>
        <w:t>μ</w:t>
      </w:r>
      <w:r>
        <w:rPr>
          <w:rFonts w:hint="eastAsia" w:ascii="Times New Roman" w:hAnsi="Times New Roman" w:eastAsia="黑体" w:cs="Times New Roman"/>
          <w:b w:val="0"/>
          <w:bCs w:val="0"/>
          <w:color w:val="000000"/>
          <w:sz w:val="18"/>
          <w:szCs w:val="18"/>
          <w:lang w:val="en-US" w:eastAsia="zh-CN"/>
        </w:rPr>
        <w:t>mol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 xml:space="preserve"> /mg prot）= y 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eastAsia="zh-CN"/>
          <w14:textFill>
            <w14:solidFill>
              <w14:schemeClr w14:val="tx1"/>
            </w14:solidFill>
          </w14:textFill>
        </w:rPr>
        <w:t>×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eastAsia="zh-CN"/>
          <w14:textFill>
            <w14:solidFill>
              <w14:schemeClr w14:val="tx1"/>
            </w14:solidFill>
          </w14:textFill>
        </w:rPr>
        <w:t>V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vertAlign w:val="subscript"/>
          <w:lang w:eastAsia="zh-CN"/>
          <w14:textFill>
            <w14:solidFill>
              <w14:schemeClr w14:val="tx1"/>
            </w14:solidFill>
          </w14:textFill>
        </w:rPr>
        <w:t>样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vertAlign w:val="subscript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eastAsia="zh-CN"/>
          <w14:textFill>
            <w14:solidFill>
              <w14:schemeClr w14:val="tx1"/>
            </w14:solidFill>
          </w14:textFill>
        </w:rPr>
        <w:t>÷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eastAsia="zh-CN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eastAsia="zh-CN"/>
          <w14:textFill>
            <w14:solidFill>
              <w14:schemeClr w14:val="tx1"/>
            </w14:solidFill>
          </w14:textFill>
        </w:rPr>
        <w:t>V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vertAlign w:val="subscript"/>
          <w:lang w:eastAsia="zh-CN"/>
          <w14:textFill>
            <w14:solidFill>
              <w14:schemeClr w14:val="tx1"/>
            </w14:solidFill>
          </w14:textFill>
        </w:rPr>
        <w:t>样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vertAlign w:val="subscript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eastAsia="zh-CN"/>
          <w14:textFill>
            <w14:solidFill>
              <w14:schemeClr w14:val="tx1"/>
            </w14:solidFill>
          </w14:textFill>
        </w:rPr>
        <w:t>×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eastAsia="zh-CN"/>
          <w14:textFill>
            <w14:solidFill>
              <w14:schemeClr w14:val="tx1"/>
            </w14:solidFill>
          </w14:textFill>
        </w:rPr>
        <w:t>Cpr)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=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y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eastAsia="zh-CN"/>
          <w14:textFill>
            <w14:solidFill>
              <w14:schemeClr w14:val="tx1"/>
            </w14:solidFill>
          </w14:textFill>
        </w:rPr>
        <w:t>÷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eastAsia="zh-CN"/>
          <w14:textFill>
            <w14:solidFill>
              <w14:schemeClr w14:val="tx1"/>
            </w14:solidFill>
          </w14:textFill>
        </w:rPr>
        <w:t>Cpr</w:t>
      </w:r>
    </w:p>
    <w:p w14:paraId="0F118AE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after="0" w:line="360" w:lineRule="auto"/>
        <w:ind w:left="0" w:leftChars="0"/>
        <w:jc w:val="left"/>
        <w:textAlignment w:val="auto"/>
        <w:outlineLvl w:val="0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）按照细菌或细胞数量计算 </w:t>
      </w:r>
    </w:p>
    <w:p w14:paraId="46B2A4B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N/>
        <w:bidi w:val="0"/>
        <w:adjustRightInd/>
        <w:snapToGrid/>
        <w:spacing w:before="0" w:after="0" w:line="360" w:lineRule="auto"/>
        <w:ind w:leftChars="0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spacing w:val="1"/>
          <w:sz w:val="18"/>
          <w:szCs w:val="18"/>
          <w:lang w:val="en-US" w:eastAsia="zh-CN"/>
        </w:rPr>
        <w:t>NO</w:t>
      </w:r>
      <w:r>
        <w:rPr>
          <w:rFonts w:hint="default" w:ascii="Times New Roman" w:hAnsi="Times New Roman" w:eastAsia="黑体" w:cs="Times New Roman"/>
          <w:b w:val="0"/>
          <w:bCs w:val="0"/>
          <w:sz w:val="18"/>
          <w:szCs w:val="18"/>
          <w:lang w:val="en-US" w:eastAsia="zh-CN"/>
        </w:rPr>
        <w:t>（</w:t>
      </w:r>
      <w:r>
        <w:rPr>
          <w:rFonts w:hint="default" w:ascii="Times New Roman" w:hAnsi="Times New Roman" w:eastAsia="黑体" w:cs="Times New Roman"/>
          <w:b w:val="0"/>
          <w:bCs w:val="0"/>
          <w:color w:val="000000"/>
          <w:sz w:val="18"/>
          <w:szCs w:val="18"/>
          <w:lang w:val="en-US" w:eastAsia="zh-CN"/>
        </w:rPr>
        <w:t>μ</w:t>
      </w:r>
      <w:r>
        <w:rPr>
          <w:rFonts w:hint="eastAsia" w:ascii="Times New Roman" w:hAnsi="Times New Roman" w:eastAsia="黑体" w:cs="Times New Roman"/>
          <w:b w:val="0"/>
          <w:bCs w:val="0"/>
          <w:color w:val="000000"/>
          <w:sz w:val="18"/>
          <w:szCs w:val="18"/>
          <w:lang w:val="en-US" w:eastAsia="zh-CN"/>
        </w:rPr>
        <w:t>mol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sz w:val="18"/>
          <w:szCs w:val="18"/>
          <w:lang w:val="en-US" w:eastAsia="zh-CN"/>
        </w:rPr>
        <w:t>/10</w:t>
      </w:r>
      <w:r>
        <w:rPr>
          <w:rFonts w:hint="eastAsia" w:ascii="Times New Roman" w:hAnsi="Times New Roman" w:eastAsia="黑体" w:cs="Times New Roman"/>
          <w:b w:val="0"/>
          <w:bCs w:val="0"/>
          <w:sz w:val="18"/>
          <w:szCs w:val="18"/>
          <w:vertAlign w:val="superscript"/>
          <w:lang w:val="en-US" w:eastAsia="zh-CN"/>
        </w:rPr>
        <w:t>4</w:t>
      </w:r>
      <w:r>
        <w:rPr>
          <w:rFonts w:hint="default" w:ascii="Times New Roman" w:hAnsi="Times New Roman" w:eastAsia="黑体" w:cs="Times New Roman"/>
          <w:b w:val="0"/>
          <w:bCs w:val="0"/>
          <w:sz w:val="18"/>
          <w:szCs w:val="18"/>
          <w:lang w:val="en-US" w:eastAsia="zh-CN"/>
        </w:rPr>
        <w:t>cell）＝y × V</w:t>
      </w:r>
      <w:r>
        <w:rPr>
          <w:rFonts w:hint="default" w:ascii="Times New Roman" w:hAnsi="Times New Roman" w:eastAsia="黑体" w:cs="Times New Roman"/>
          <w:b w:val="0"/>
          <w:bCs w:val="0"/>
          <w:sz w:val="18"/>
          <w:szCs w:val="18"/>
          <w:vertAlign w:val="subscript"/>
          <w:lang w:val="en-US" w:eastAsia="zh-CN"/>
        </w:rPr>
        <w:t>样</w:t>
      </w:r>
      <w:r>
        <w:rPr>
          <w:rFonts w:hint="default" w:ascii="Times New Roman" w:hAnsi="Times New Roman" w:eastAsia="黑体" w:cs="Times New Roman"/>
          <w:b w:val="0"/>
          <w:bCs w:val="0"/>
          <w:sz w:val="18"/>
          <w:szCs w:val="18"/>
          <w:lang w:val="en-US" w:eastAsia="zh-CN"/>
        </w:rPr>
        <w:t xml:space="preserve"> ÷ ( 500 × V</w:t>
      </w:r>
      <w:r>
        <w:rPr>
          <w:rFonts w:hint="default" w:ascii="Times New Roman" w:hAnsi="Times New Roman" w:eastAsia="黑体" w:cs="Times New Roman"/>
          <w:b w:val="0"/>
          <w:bCs w:val="0"/>
          <w:sz w:val="18"/>
          <w:szCs w:val="18"/>
          <w:vertAlign w:val="subscript"/>
          <w:lang w:val="en-US" w:eastAsia="zh-CN"/>
        </w:rPr>
        <w:t>样</w:t>
      </w:r>
      <w:r>
        <w:rPr>
          <w:rFonts w:hint="default" w:ascii="Times New Roman" w:hAnsi="Times New Roman" w:eastAsia="黑体" w:cs="Times New Roman"/>
          <w:b w:val="0"/>
          <w:bCs w:val="0"/>
          <w:sz w:val="18"/>
          <w:szCs w:val="18"/>
          <w:lang w:val="en-US" w:eastAsia="zh-CN"/>
        </w:rPr>
        <w:t xml:space="preserve"> ÷ V</w:t>
      </w:r>
      <w:r>
        <w:rPr>
          <w:rFonts w:hint="default" w:ascii="Times New Roman" w:hAnsi="Times New Roman" w:eastAsia="黑体" w:cs="Times New Roman"/>
          <w:b w:val="0"/>
          <w:bCs w:val="0"/>
          <w:sz w:val="18"/>
          <w:szCs w:val="18"/>
          <w:vertAlign w:val="subscript"/>
          <w:lang w:val="en-US" w:eastAsia="zh-CN"/>
        </w:rPr>
        <w:t>样总</w:t>
      </w:r>
      <w:r>
        <w:rPr>
          <w:rFonts w:hint="default" w:ascii="Times New Roman" w:hAnsi="Times New Roman" w:eastAsia="黑体" w:cs="Times New Roman"/>
          <w:b w:val="0"/>
          <w:bCs w:val="0"/>
          <w:sz w:val="18"/>
          <w:szCs w:val="18"/>
          <w:lang w:val="en-US" w:eastAsia="zh-CN"/>
        </w:rPr>
        <w:t xml:space="preserve">) </w:t>
      </w:r>
      <w:r>
        <w:rPr>
          <w:rFonts w:hint="eastAsia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=0.002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eastAsia="zh-CN"/>
          <w14:textFill>
            <w14:solidFill>
              <w14:schemeClr w14:val="tx1"/>
            </w14:solidFill>
          </w14:textFill>
        </w:rPr>
        <w:t>×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y</w:t>
      </w:r>
    </w:p>
    <w:p w14:paraId="733A1117"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before="0" w:after="0" w:line="360" w:lineRule="auto"/>
        <w:ind w:left="0" w:leftChars="0"/>
        <w:jc w:val="left"/>
        <w:textAlignment w:val="auto"/>
        <w:rPr>
          <w:rFonts w:hint="default" w:ascii="Times New Roman" w:hAnsi="Times New Roman" w:eastAsia="黑体" w:cs="Times New Roman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V</w:t>
      </w:r>
      <w:r>
        <w:rPr>
          <w:rFonts w:hint="default" w:ascii="Times New Roman" w:hAnsi="Times New Roman" w:eastAsia="黑体" w:cs="Times New Roman"/>
          <w:color w:val="000000" w:themeColor="text1"/>
          <w:sz w:val="18"/>
          <w:szCs w:val="18"/>
          <w:vertAlign w:val="subscript"/>
          <w:lang w:val="en-US" w:eastAsia="zh-CN"/>
          <w14:textFill>
            <w14:solidFill>
              <w14:schemeClr w14:val="tx1"/>
            </w14:solidFill>
          </w14:textFill>
        </w:rPr>
        <w:t>样总</w:t>
      </w:r>
      <w:r>
        <w:rPr>
          <w:rFonts w:hint="default" w:ascii="Times New Roman" w:hAnsi="Times New Roman" w:eastAsia="黑体" w:cs="Times New Roman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：加入提取液体积，1 mL；Cpr：样本蛋白质浓度，mg/mL；</w:t>
      </w:r>
    </w:p>
    <w:p w14:paraId="2CCA1413"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before="0" w:after="0" w:line="360" w:lineRule="auto"/>
        <w:ind w:left="0" w:leftChars="0"/>
        <w:jc w:val="left"/>
        <w:textAlignment w:val="auto"/>
        <w:rPr>
          <w:rFonts w:hint="default" w:ascii="Times New Roman" w:hAnsi="Times New Roman" w:eastAsia="黑体" w:cs="Times New Roman"/>
          <w:b/>
          <w:bCs/>
          <w:sz w:val="18"/>
          <w:szCs w:val="18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W：样本质量，g；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V</w:t>
      </w:r>
      <w:r>
        <w:rPr>
          <w:rFonts w:hint="default" w:ascii="Times New Roman" w:hAnsi="Times New Roman" w:eastAsia="黑体" w:cs="Times New Roman"/>
          <w:sz w:val="18"/>
          <w:szCs w:val="18"/>
          <w:vertAlign w:val="subscript"/>
          <w:lang w:val="en-US" w:eastAsia="zh-CN"/>
        </w:rPr>
        <w:t>样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：加入样本体积，0.</w:t>
      </w:r>
      <w:r>
        <w:rPr>
          <w:rFonts w:hint="eastAsia" w:ascii="Times New Roman" w:hAnsi="Times New Roman" w:eastAsia="黑体" w:cs="Times New Roman"/>
          <w:sz w:val="18"/>
          <w:szCs w:val="18"/>
          <w:lang w:val="en-US" w:eastAsia="zh-CN"/>
        </w:rPr>
        <w:t>2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mL；500：细胞/细菌数，500万</w:t>
      </w:r>
      <w:r>
        <w:rPr>
          <w:rFonts w:hint="eastAsia" w:ascii="Times New Roman" w:hAnsi="Times New Roman" w:eastAsia="黑体" w:cs="Times New Roman"/>
          <w:sz w:val="18"/>
          <w:szCs w:val="18"/>
          <w:lang w:val="en-US" w:eastAsia="zh-CN"/>
        </w:rPr>
        <w:t>。</w:t>
      </w:r>
    </w:p>
    <w:p w14:paraId="170FF7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outlineLvl w:val="0"/>
        <w:rPr>
          <w:rFonts w:hint="default" w:ascii="Times New Roman" w:hAnsi="Times New Roman" w:eastAsia="黑体" w:cs="Times New Roman"/>
          <w:b/>
          <w:bCs/>
          <w:sz w:val="18"/>
          <w:szCs w:val="18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bCs/>
          <w:sz w:val="18"/>
          <w:szCs w:val="18"/>
          <w:lang w:val="en-US" w:eastAsia="zh-CN"/>
        </w:rPr>
        <w:t>六、</w:t>
      </w:r>
      <w:r>
        <w:rPr>
          <w:rFonts w:hint="default" w:ascii="Times New Roman" w:hAnsi="Times New Roman" w:eastAsia="黑体" w:cs="Times New Roman"/>
          <w:b/>
          <w:bCs/>
          <w:color w:val="000000"/>
          <w:sz w:val="18"/>
          <w:szCs w:val="18"/>
          <w:lang w:val="en-US" w:eastAsia="zh-CN"/>
        </w:rPr>
        <w:t>注意事项：</w:t>
      </w:r>
    </w:p>
    <w:p w14:paraId="20C9F3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outlineLvl w:val="0"/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</w:pP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1、实验之前建议选择 2-3 个预期差异大的样本做预实验。如果样本吸光值不在测量范围内建议稀释或者增加样本量进行检测；</w:t>
      </w:r>
    </w:p>
    <w:p w14:paraId="06BEA7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outlineLvl w:val="0"/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</w:pP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2</w:t>
      </w:r>
      <w:r>
        <w:rPr>
          <w:rFonts w:hint="eastAsia" w:ascii="Times New Roman" w:hAnsi="Times New Roman" w:eastAsia="黑体" w:cs="Times New Roman"/>
          <w:sz w:val="18"/>
          <w:szCs w:val="18"/>
          <w:lang w:val="en-US" w:eastAsia="zh-CN"/>
        </w:rPr>
        <w:t>、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样品要尽快处理，避免长时间放置导致 NO 含量变化。在加入硫酸锌进行蛋白沉淀时，要注意混合均匀，离心条件要合适，以保证沉淀效果。</w:t>
      </w:r>
    </w:p>
    <w:p w14:paraId="7B54445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/>
        <w:textAlignment w:val="auto"/>
        <w:rPr>
          <w:rFonts w:hint="default" w:ascii="Times New Roman" w:hAnsi="Times New Roman" w:eastAsia="黑体" w:cs="Times New Roman"/>
          <w:b/>
          <w:bCs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黑体" w:cs="Times New Roman"/>
          <w:b/>
          <w:bCs/>
          <w:color w:val="000000"/>
          <w:kern w:val="0"/>
          <w:sz w:val="18"/>
          <w:szCs w:val="18"/>
          <w:lang w:val="en-US" w:eastAsia="zh-CN" w:bidi="ar"/>
        </w:rPr>
        <w:t xml:space="preserve">【厂家信息】 </w:t>
      </w:r>
    </w:p>
    <w:p w14:paraId="6A96D91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>生产企业：南京陌凡生物科技有限公司</w:t>
      </w:r>
    </w:p>
    <w:p w14:paraId="20AF28A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>地址：南京市栖霞区红枫科技园A6栋2层</w:t>
      </w:r>
    </w:p>
    <w:p w14:paraId="2370B02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/>
        <w:textAlignment w:val="auto"/>
        <w:rPr>
          <w:rFonts w:hint="default" w:ascii="Times New Roman" w:hAnsi="Times New Roman" w:eastAsia="黑体" w:cs="Times New Roman"/>
          <w:b/>
          <w:bCs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黑体" w:cs="Times New Roman"/>
          <w:b/>
          <w:bCs/>
          <w:color w:val="000000"/>
          <w:kern w:val="0"/>
          <w:sz w:val="18"/>
          <w:szCs w:val="18"/>
          <w:lang w:val="en-US" w:eastAsia="zh-CN" w:bidi="ar"/>
        </w:rPr>
        <w:t xml:space="preserve">【售后微信】 </w:t>
      </w:r>
    </w:p>
    <w:p w14:paraId="768EEC4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/>
        <w:textAlignment w:val="auto"/>
        <w:rPr>
          <w:rFonts w:hint="default" w:ascii="Times New Roman" w:hAnsi="Times New Roman" w:eastAsia="黑体" w:cs="Times New Roman"/>
          <w:b/>
          <w:bCs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黑体" w:cs="Times New Roman"/>
          <w:b/>
          <w:bCs/>
          <w:color w:val="000000"/>
          <w:kern w:val="0"/>
          <w:sz w:val="18"/>
          <w:szCs w:val="18"/>
          <w:lang w:val="en-US" w:eastAsia="zh-CN" w:bidi="ar"/>
        </w:rPr>
        <w:drawing>
          <wp:inline distT="0" distB="0" distL="114300" distR="114300">
            <wp:extent cx="627380" cy="631825"/>
            <wp:effectExtent l="0" t="0" r="12700" b="8255"/>
            <wp:docPr id="1" name="图片 1" descr="图片微信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微信二维码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63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86AF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/>
        <w:textAlignment w:val="auto"/>
        <w:rPr>
          <w:rFonts w:hint="default" w:ascii="Times New Roman" w:hAnsi="Times New Roman" w:eastAsia="黑体" w:cs="Times New Roman"/>
          <w:b/>
          <w:bCs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黑体" w:cs="Times New Roman"/>
          <w:b/>
          <w:bCs/>
          <w:color w:val="000000"/>
          <w:kern w:val="0"/>
          <w:sz w:val="18"/>
          <w:szCs w:val="18"/>
          <w:lang w:val="en-US" w:eastAsia="zh-CN" w:bidi="ar"/>
        </w:rPr>
        <w:t xml:space="preserve">【说明书核准及修改日期】 </w:t>
      </w:r>
    </w:p>
    <w:p w14:paraId="4FD2169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 xml:space="preserve">核准日期：2025年4月7日 </w:t>
      </w:r>
    </w:p>
    <w:p w14:paraId="4B3E17D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>修改日期：2025年4月7日</w:t>
      </w:r>
    </w:p>
    <w:p w14:paraId="175B9B7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09BD0C1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3FF1A57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0FBF683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5C151B6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4F9C78F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0A0A65D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34728A0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5EBB976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6B16A40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7DCE75C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14FEB69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4897B29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7A5AB87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7C24890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4CCDB92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3640A97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4D84F9C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27CD5EF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7DDD28E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3372436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578ED5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outlineLvl w:val="0"/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</w:pPr>
    </w:p>
    <w:p w14:paraId="112AFD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outlineLvl w:val="0"/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sectPr>
          <w:type w:val="continuous"/>
          <w:pgSz w:w="12240" w:h="15839"/>
          <w:pgMar w:top="1134" w:right="567" w:bottom="1134" w:left="567" w:header="851" w:footer="992" w:gutter="0"/>
          <w:cols w:equalWidth="0" w:num="2">
            <w:col w:w="5340" w:space="425"/>
            <w:col w:w="5340"/>
          </w:cols>
          <w:rtlGutter w:val="0"/>
          <w:docGrid w:type="lines" w:linePitch="312" w:charSpace="0"/>
        </w:sectPr>
      </w:pPr>
    </w:p>
    <w:p w14:paraId="574D7D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outlineLvl w:val="0"/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</w:pPr>
    </w:p>
    <w:p w14:paraId="0458E7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outlineLvl w:val="0"/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</w:pPr>
    </w:p>
    <w:p w14:paraId="25EB7D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outlineLvl w:val="0"/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</w:pPr>
    </w:p>
    <w:p w14:paraId="799D58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outlineLvl w:val="0"/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</w:pPr>
    </w:p>
    <w:p w14:paraId="60B31C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outlineLvl w:val="0"/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</w:pPr>
    </w:p>
    <w:p w14:paraId="5B09A9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outlineLvl w:val="0"/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</w:pPr>
    </w:p>
    <w:sectPr>
      <w:type w:val="continuous"/>
      <w:pgSz w:w="12240" w:h="15839"/>
      <w:pgMar w:top="1440" w:right="1800" w:bottom="1440" w:left="1800" w:header="851" w:footer="992" w:gutter="0"/>
      <w:cols w:space="660" w:num="2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E4A0D3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-375285</wp:posOffset>
              </wp:positionH>
              <wp:positionV relativeFrom="paragraph">
                <wp:posOffset>364490</wp:posOffset>
              </wp:positionV>
              <wp:extent cx="6158865" cy="404495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839470" y="9788525"/>
                        <a:ext cx="6158865" cy="4044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412C602">
                          <w:pPr>
                            <w:rPr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29.55pt;margin-top:28.7pt;height:31.85pt;width:484.95pt;z-index:251659264;mso-width-relative:page;mso-height-relative:page;" filled="f" stroked="f" coordsize="21600,21600" o:gfxdata="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Okb3A7aAAAACgEAAA8A&#10;AAAAAAAAAQAgAAAAIgAAAGRycy9kb3ducmV2LnhtbFBLAQIUABQAAAAIAIdO4kBghvkFTgIAAH8E&#10;AAAOAAAAAAAAAAEAIAAAACkBAABkcnMvZTJvRG9jLnhtbFBLBQYAAAAABgAGAFkBAADpBQAAAAA=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0412C602">
                    <w:pPr>
                      <w:rPr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B75177"/>
    <w:multiLevelType w:val="singleLevel"/>
    <w:tmpl w:val="0FB75177"/>
    <w:lvl w:ilvl="0" w:tentative="0">
      <w:start w:val="1"/>
      <w:numFmt w:val="chineseCounting"/>
      <w:lvlText w:val="%1、"/>
      <w:lvlJc w:val="left"/>
      <w:pPr>
        <w:tabs>
          <w:tab w:val="left" w:pos="420"/>
        </w:tabs>
        <w:ind w:left="425" w:leftChars="0" w:hanging="425" w:firstLineChars="0"/>
      </w:pPr>
      <w:rPr>
        <w:rFonts w:hint="eastAsia" w:ascii="Times New Roman" w:hAnsi="Times New Roman" w:eastAsia="黑体" w:cs="Times New Roman"/>
        <w:b/>
        <w:bCs/>
        <w:sz w:val="18"/>
        <w:szCs w:val="1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Q0NTUwNWM2Y2NhMTVmNzAyODI5YjJjMWQ5NGYxYzQifQ=="/>
    <w:docVar w:name="KSO_WPS_MARK_KEY" w:val="1d522b48-08b0-4e55-88a4-0456bf0260f2"/>
  </w:docVars>
  <w:rsids>
    <w:rsidRoot w:val="00C83B5D"/>
    <w:rsid w:val="00516DA9"/>
    <w:rsid w:val="005319D6"/>
    <w:rsid w:val="00927035"/>
    <w:rsid w:val="00960906"/>
    <w:rsid w:val="00C83B5D"/>
    <w:rsid w:val="00E32D1A"/>
    <w:rsid w:val="00F02E98"/>
    <w:rsid w:val="011356FB"/>
    <w:rsid w:val="01820A3D"/>
    <w:rsid w:val="029A1B3E"/>
    <w:rsid w:val="03251481"/>
    <w:rsid w:val="03285FB0"/>
    <w:rsid w:val="03BA6A4A"/>
    <w:rsid w:val="04237521"/>
    <w:rsid w:val="058B0043"/>
    <w:rsid w:val="07125F5D"/>
    <w:rsid w:val="07B05502"/>
    <w:rsid w:val="08042CA2"/>
    <w:rsid w:val="08652E8F"/>
    <w:rsid w:val="09735D79"/>
    <w:rsid w:val="0AED7F06"/>
    <w:rsid w:val="0B307628"/>
    <w:rsid w:val="0BCF4253"/>
    <w:rsid w:val="0C5E1A2E"/>
    <w:rsid w:val="0CC2490B"/>
    <w:rsid w:val="0DFB74C8"/>
    <w:rsid w:val="0E303BE3"/>
    <w:rsid w:val="0FBE16D7"/>
    <w:rsid w:val="102A3C6A"/>
    <w:rsid w:val="10AA5FCE"/>
    <w:rsid w:val="10BF22DF"/>
    <w:rsid w:val="10EC4E6B"/>
    <w:rsid w:val="119C3D6E"/>
    <w:rsid w:val="11AE1C6B"/>
    <w:rsid w:val="11BE3D52"/>
    <w:rsid w:val="11E069CA"/>
    <w:rsid w:val="12E46028"/>
    <w:rsid w:val="14DC4A4C"/>
    <w:rsid w:val="157601E9"/>
    <w:rsid w:val="15DC5D3E"/>
    <w:rsid w:val="16A708E8"/>
    <w:rsid w:val="16B26FFE"/>
    <w:rsid w:val="171423DE"/>
    <w:rsid w:val="18647888"/>
    <w:rsid w:val="198B1637"/>
    <w:rsid w:val="19B70142"/>
    <w:rsid w:val="1A754EF4"/>
    <w:rsid w:val="1AA4654D"/>
    <w:rsid w:val="1B044F4E"/>
    <w:rsid w:val="1B235A0D"/>
    <w:rsid w:val="1B7F7C87"/>
    <w:rsid w:val="1B8604F8"/>
    <w:rsid w:val="1CBD2346"/>
    <w:rsid w:val="1EF5066D"/>
    <w:rsid w:val="1F60301D"/>
    <w:rsid w:val="1F9A493D"/>
    <w:rsid w:val="209363D7"/>
    <w:rsid w:val="21AF354A"/>
    <w:rsid w:val="21E077E0"/>
    <w:rsid w:val="22047BE0"/>
    <w:rsid w:val="227C1ABC"/>
    <w:rsid w:val="22810CDB"/>
    <w:rsid w:val="230315D1"/>
    <w:rsid w:val="233E0BD8"/>
    <w:rsid w:val="24800E1A"/>
    <w:rsid w:val="24AA57B9"/>
    <w:rsid w:val="24B601D7"/>
    <w:rsid w:val="29300521"/>
    <w:rsid w:val="29363ABF"/>
    <w:rsid w:val="29D40293"/>
    <w:rsid w:val="2ACD3758"/>
    <w:rsid w:val="2BDB094E"/>
    <w:rsid w:val="2C995E28"/>
    <w:rsid w:val="2D707F11"/>
    <w:rsid w:val="2E852ACB"/>
    <w:rsid w:val="30D01D7F"/>
    <w:rsid w:val="30ED13A2"/>
    <w:rsid w:val="30F34B72"/>
    <w:rsid w:val="32173572"/>
    <w:rsid w:val="322A7F39"/>
    <w:rsid w:val="33A41E60"/>
    <w:rsid w:val="33AC2CC2"/>
    <w:rsid w:val="34014CC9"/>
    <w:rsid w:val="340A0988"/>
    <w:rsid w:val="341D4DD1"/>
    <w:rsid w:val="34250B19"/>
    <w:rsid w:val="35A53261"/>
    <w:rsid w:val="36EC662C"/>
    <w:rsid w:val="36ED5824"/>
    <w:rsid w:val="383A6F58"/>
    <w:rsid w:val="387F7482"/>
    <w:rsid w:val="38A34058"/>
    <w:rsid w:val="39570592"/>
    <w:rsid w:val="39FB5447"/>
    <w:rsid w:val="3A6D03CB"/>
    <w:rsid w:val="3BA906F0"/>
    <w:rsid w:val="3BDB426D"/>
    <w:rsid w:val="3C924F97"/>
    <w:rsid w:val="3CBD5E0E"/>
    <w:rsid w:val="3CE30681"/>
    <w:rsid w:val="3D624A2B"/>
    <w:rsid w:val="3DB3195B"/>
    <w:rsid w:val="40252D39"/>
    <w:rsid w:val="40D914A8"/>
    <w:rsid w:val="412169AB"/>
    <w:rsid w:val="42B73673"/>
    <w:rsid w:val="43B96D4A"/>
    <w:rsid w:val="43DC710F"/>
    <w:rsid w:val="444255B6"/>
    <w:rsid w:val="44E03CDB"/>
    <w:rsid w:val="44E41A0A"/>
    <w:rsid w:val="45A24AA0"/>
    <w:rsid w:val="465823F4"/>
    <w:rsid w:val="474D3A7F"/>
    <w:rsid w:val="48125180"/>
    <w:rsid w:val="48BB33A6"/>
    <w:rsid w:val="49CB179D"/>
    <w:rsid w:val="49EB1754"/>
    <w:rsid w:val="4B6A34BB"/>
    <w:rsid w:val="4BA15224"/>
    <w:rsid w:val="4C080172"/>
    <w:rsid w:val="4C786019"/>
    <w:rsid w:val="4C7D53DD"/>
    <w:rsid w:val="4CF60CEC"/>
    <w:rsid w:val="4D0A3273"/>
    <w:rsid w:val="4D38195D"/>
    <w:rsid w:val="4D432C2E"/>
    <w:rsid w:val="4D9524B5"/>
    <w:rsid w:val="4DA67A32"/>
    <w:rsid w:val="4DEC3F60"/>
    <w:rsid w:val="4F244236"/>
    <w:rsid w:val="4F847D34"/>
    <w:rsid w:val="50607350"/>
    <w:rsid w:val="50727DB6"/>
    <w:rsid w:val="507F596E"/>
    <w:rsid w:val="50BC7E4F"/>
    <w:rsid w:val="50E504A2"/>
    <w:rsid w:val="512C2345"/>
    <w:rsid w:val="5240422D"/>
    <w:rsid w:val="526D0CD3"/>
    <w:rsid w:val="528906E1"/>
    <w:rsid w:val="529C7782"/>
    <w:rsid w:val="55052AF6"/>
    <w:rsid w:val="554D356A"/>
    <w:rsid w:val="57684D5C"/>
    <w:rsid w:val="57C95C6E"/>
    <w:rsid w:val="5AC16E43"/>
    <w:rsid w:val="5BEC0CF4"/>
    <w:rsid w:val="5C357AC7"/>
    <w:rsid w:val="5C5234C6"/>
    <w:rsid w:val="5D293980"/>
    <w:rsid w:val="5D4F6136"/>
    <w:rsid w:val="5D6C356E"/>
    <w:rsid w:val="5E186247"/>
    <w:rsid w:val="5F503792"/>
    <w:rsid w:val="60643359"/>
    <w:rsid w:val="60733769"/>
    <w:rsid w:val="60A804EA"/>
    <w:rsid w:val="610C692D"/>
    <w:rsid w:val="613C14DC"/>
    <w:rsid w:val="61C96577"/>
    <w:rsid w:val="61E545D1"/>
    <w:rsid w:val="621A5025"/>
    <w:rsid w:val="62A52B40"/>
    <w:rsid w:val="62E65DB2"/>
    <w:rsid w:val="62F7361F"/>
    <w:rsid w:val="63256D68"/>
    <w:rsid w:val="63886264"/>
    <w:rsid w:val="639D7CBB"/>
    <w:rsid w:val="64EC72A3"/>
    <w:rsid w:val="65105F3C"/>
    <w:rsid w:val="65F53F7F"/>
    <w:rsid w:val="66155874"/>
    <w:rsid w:val="681637E5"/>
    <w:rsid w:val="68CE62F4"/>
    <w:rsid w:val="691E5254"/>
    <w:rsid w:val="699B2EEF"/>
    <w:rsid w:val="69C210A4"/>
    <w:rsid w:val="6AC62404"/>
    <w:rsid w:val="6B0058DC"/>
    <w:rsid w:val="6B0C0CE8"/>
    <w:rsid w:val="6BBF4D78"/>
    <w:rsid w:val="6BC4672D"/>
    <w:rsid w:val="6C450EF0"/>
    <w:rsid w:val="6C931EAF"/>
    <w:rsid w:val="6D2E358B"/>
    <w:rsid w:val="6D7D64CF"/>
    <w:rsid w:val="6F7A7103"/>
    <w:rsid w:val="6F921A2A"/>
    <w:rsid w:val="6FE42309"/>
    <w:rsid w:val="707E3A8B"/>
    <w:rsid w:val="70A72179"/>
    <w:rsid w:val="71052807"/>
    <w:rsid w:val="71112B17"/>
    <w:rsid w:val="71237FDE"/>
    <w:rsid w:val="716720DC"/>
    <w:rsid w:val="72312642"/>
    <w:rsid w:val="723232F1"/>
    <w:rsid w:val="7234054D"/>
    <w:rsid w:val="73170473"/>
    <w:rsid w:val="731A2BEF"/>
    <w:rsid w:val="73505624"/>
    <w:rsid w:val="73C60B68"/>
    <w:rsid w:val="73FB5BAF"/>
    <w:rsid w:val="745103CE"/>
    <w:rsid w:val="75275C40"/>
    <w:rsid w:val="754129C8"/>
    <w:rsid w:val="768017BE"/>
    <w:rsid w:val="76E21EB5"/>
    <w:rsid w:val="76EB63F8"/>
    <w:rsid w:val="77264041"/>
    <w:rsid w:val="777E1243"/>
    <w:rsid w:val="7789649D"/>
    <w:rsid w:val="77F263D0"/>
    <w:rsid w:val="784B19A6"/>
    <w:rsid w:val="79373935"/>
    <w:rsid w:val="79FE5581"/>
    <w:rsid w:val="7AD82FF0"/>
    <w:rsid w:val="7B00430E"/>
    <w:rsid w:val="7B60455E"/>
    <w:rsid w:val="7B661FCC"/>
    <w:rsid w:val="7C72226B"/>
    <w:rsid w:val="7CA659DB"/>
    <w:rsid w:val="7EF86075"/>
    <w:rsid w:val="7F6B2690"/>
    <w:rsid w:val="7FAC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unhideWhenUsed/>
    <w:qFormat/>
    <w:uiPriority w:val="1"/>
    <w:pPr>
      <w:spacing w:before="91" w:beforeLines="0" w:afterLines="0"/>
      <w:ind w:left="130"/>
    </w:pPr>
    <w:rPr>
      <w:rFonts w:hint="default"/>
      <w:sz w:val="21"/>
      <w:szCs w:val="24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Title"/>
    <w:basedOn w:val="1"/>
    <w:autoRedefine/>
    <w:qFormat/>
    <w:uiPriority w:val="0"/>
    <w:pPr>
      <w:spacing w:after="0"/>
      <w:jc w:val="center"/>
    </w:pPr>
    <w:rPr>
      <w:rFonts w:ascii="Times New Roman" w:hAnsi="Times New Roman" w:eastAsia="宋体" w:cs="Times New Roman"/>
      <w:b/>
      <w:bCs/>
      <w:sz w:val="24"/>
      <w:szCs w:val="24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autoRedefine/>
    <w:qFormat/>
    <w:uiPriority w:val="0"/>
    <w:rPr>
      <w:color w:val="0000FF"/>
      <w:u w:val="single"/>
    </w:rPr>
  </w:style>
  <w:style w:type="paragraph" w:styleId="10">
    <w:name w:val="List Paragraph"/>
    <w:basedOn w:val="1"/>
    <w:qFormat/>
    <w:uiPriority w:val="1"/>
    <w:pPr>
      <w:ind w:left="258" w:firstLine="419"/>
    </w:pPr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1507</Words>
  <Characters>1905</Characters>
  <Lines>11</Lines>
  <Paragraphs>3</Paragraphs>
  <TotalTime>2</TotalTime>
  <ScaleCrop>false</ScaleCrop>
  <LinksUpToDate>false</LinksUpToDate>
  <CharactersWithSpaces>2021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2022-05-30T02:16:00Z</dcterms:created>
  <dc:creator>Administrator</dc:creator>
  <cp:lastModifiedBy>夏玉婷</cp:lastModifiedBy>
  <dcterms:modified xsi:type="dcterms:W3CDTF">2026-03-25T01:46:41Z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460933A4EC144BA0861508209E3EB2D4_13</vt:lpwstr>
  </property>
  <property fmtid="{D5CDD505-2E9C-101B-9397-08002B2CF9AE}" pid="4" name="KSOTemplateDocerSaveRecord">
    <vt:lpwstr>eyJoZGlkIjoiODExOTUyYzM3YzUyN2ZhNGQwYjRhMzQ2NTAyN2NlOTQiLCJ1c2VySWQiOiIzMzc4NjUzNzMifQ==</vt:lpwstr>
  </property>
</Properties>
</file>